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spacing w:before="2200" w:after="0"/>
        <w:jc w:val="center"/>
      </w:pPr>
      <w:r>
        <w:t>OMS</w:t>
      </w:r>
    </w:p>
    <w:p>
      <w:pPr>
        <w:jc w:val="center"/>
      </w:pPr>
      <w:r>
        <w:rPr>
          <w:b/>
          <w:sz w:val="40"/>
        </w:rPr>
        <w:t>ENTERPRISE ARCHITECTURE MANUAL</w:t>
      </w:r>
    </w:p>
    <w:p>
      <w:pPr>
        <w:pStyle w:val="Subtitle"/>
        <w:jc w:val="center"/>
      </w:pPr>
      <w:r>
        <w:t>The product constitution for the Enterprise Operations System</w:t>
      </w:r>
    </w:p>
    <w:p>
      <w:pPr>
        <w:spacing w:after="160"/>
        <w:pBdr>
          <w:bottom w:val="single" w:sz="8" w:space="1" w:color="B8892D"/>
        </w:pBdr>
      </w:pPr>
    </w:p>
    <w:p>
      <w:pPr>
        <w:pStyle w:val="OMSEyebrow"/>
        <w:jc w:val="center"/>
      </w:pPr>
      <w:r>
        <w:t>Version 1.0  |  July 2026</w:t>
      </w:r>
    </w:p>
    <w:p>
      <w:r>
        <w:br/>
      </w:r>
    </w:p>
    <w:tbl>
      <w:tblPr>
        <w:tblW w:type="auto" w:w="0"/>
        <w:jc w:val="center"/>
        <w:tblLayout w:type="autofit"/>
        <w:tblLook w:firstColumn="1" w:firstRow="1" w:lastColumn="0" w:lastRow="0" w:noHBand="0" w:noVBand="1" w:val="04A0"/>
      </w:tblPr>
      <w:tblGrid>
        <w:gridCol w:w="10166"/>
      </w:tblGrid>
      <w:tr>
        <w:tc>
          <w:tcPr>
            <w:tcW w:type="dxa" w:w="10166"/>
            <w:shd w:fill="F5F1E8"/>
          </w:tcPr>
          <w:p>
            <w:r>
              <w:rPr>
                <w:b/>
                <w:color w:val="B8892D"/>
                <w:sz w:val="22"/>
              </w:rPr>
              <w:t>Architecture mandate</w:t>
              <w:br/>
            </w:r>
            <w:r>
              <w:rPr>
                <w:color w:val="151515"/>
                <w:sz w:val="20"/>
              </w:rPr>
              <w:t>OMS must remain scalable, reusable, maintainable and commercially valuable. Every engine, workflow and interface decision is tested against those four standards.</w:t>
            </w:r>
          </w:p>
        </w:tc>
      </w:tr>
    </w:tbl>
    <w:p>
      <w:pPr>
        <w:spacing w:after="0"/>
      </w:pPr>
    </w:p>
    <w:p>
      <w:pPr>
        <w:pStyle w:val="OMSSmall"/>
        <w:spacing w:before="1600"/>
        <w:jc w:val="center"/>
      </w:pPr>
      <w:r>
        <w:t>Prepared for The Angel Organisation</w:t>
      </w:r>
    </w:p>
    <w:p>
      <w:r>
        <w:br w:type="page"/>
      </w:r>
    </w:p>
    <w:p>
      <w:pPr>
        <w:spacing w:after="100"/>
      </w:pPr>
      <w:r>
        <w:t>1. Product Vision</w:t>
      </w:r>
    </w:p>
    <w:p>
      <w:pPr>
        <w:spacing w:after="100"/>
      </w:pPr>
      <w:r>
        <w:t>2. Architecture Principles</w:t>
      </w:r>
    </w:p>
    <w:p>
      <w:pPr>
        <w:spacing w:after="100"/>
      </w:pPr>
      <w:r>
        <w:t>3. OMS Engine Model</w:t>
      </w:r>
    </w:p>
    <w:p>
      <w:pPr>
        <w:spacing w:after="100"/>
      </w:pPr>
      <w:r>
        <w:t>4. Information Ownership</w:t>
      </w:r>
    </w:p>
    <w:p>
      <w:pPr>
        <w:spacing w:after="100"/>
      </w:pPr>
      <w:r>
        <w:t>5. Enterprise Data Hierarchy</w:t>
      </w:r>
    </w:p>
    <w:p>
      <w:pPr>
        <w:spacing w:after="100"/>
      </w:pPr>
      <w:r>
        <w:t>6. Identity and Permission Model</w:t>
      </w:r>
    </w:p>
    <w:p>
      <w:pPr>
        <w:spacing w:after="100"/>
      </w:pPr>
      <w:r>
        <w:t>7. Design System</w:t>
      </w:r>
    </w:p>
    <w:p>
      <w:pPr>
        <w:spacing w:after="100"/>
      </w:pPr>
      <w:r>
        <w:t>8. Engine 6: Lease Engine</w:t>
      </w:r>
    </w:p>
    <w:p>
      <w:pPr>
        <w:spacing w:after="100"/>
      </w:pPr>
      <w:r>
        <w:t>9. Rent and Receivables Engine</w:t>
      </w:r>
    </w:p>
    <w:p>
      <w:pPr>
        <w:spacing w:after="100"/>
      </w:pPr>
      <w:r>
        <w:t>10. Entity Engine</w:t>
      </w:r>
    </w:p>
    <w:p>
      <w:pPr>
        <w:spacing w:after="100"/>
      </w:pPr>
      <w:r>
        <w:t>11. Finance and Invoicing</w:t>
      </w:r>
    </w:p>
    <w:p>
      <w:pPr>
        <w:spacing w:after="100"/>
      </w:pPr>
      <w:r>
        <w:t>12. Documents, Audit and AI</w:t>
      </w:r>
    </w:p>
    <w:p>
      <w:pPr>
        <w:spacing w:after="100"/>
      </w:pPr>
      <w:r>
        <w:t>13. Engineering Standards</w:t>
      </w:r>
    </w:p>
    <w:p>
      <w:pPr>
        <w:spacing w:after="100"/>
      </w:pPr>
      <w:r>
        <w:t>14. Release Management</w:t>
      </w:r>
    </w:p>
    <w:p>
      <w:pPr>
        <w:spacing w:after="100"/>
      </w:pPr>
      <w:r>
        <w:t>15. Product Roadmap</w:t>
      </w:r>
    </w:p>
    <w:p>
      <w:r>
        <w:br w:type="page"/>
      </w:r>
    </w:p>
    <w:p>
      <w:pPr>
        <w:pStyle w:val="Heading1"/>
      </w:pPr>
      <w:r>
        <w:t>1. Product Vision</w:t>
      </w:r>
    </w:p>
    <w:p>
      <w:r>
        <w:t>OMS is an Enterprise Operations System: a unified platform through which organizations manage identity, legal entities, assets, agreements, operations, finance, documents, analytics and artificial intelligence. Property management is the first operational vertical, not the final boundary of the product.</w:t>
      </w:r>
    </w:p>
    <w:tbl>
      <w:tblPr>
        <w:tblW w:type="auto" w:w="0"/>
        <w:jc w:val="center"/>
        <w:tblLayout w:type="autofit"/>
        <w:tblLook w:firstColumn="1" w:firstRow="1" w:lastColumn="0" w:lastRow="0" w:noHBand="0" w:noVBand="1" w:val="04A0"/>
      </w:tblPr>
      <w:tblGrid>
        <w:gridCol w:w="10166"/>
      </w:tblGrid>
      <w:tr>
        <w:tc>
          <w:tcPr>
            <w:tcW w:type="dxa" w:w="10166"/>
            <w:shd w:fill="F5F1E8"/>
          </w:tcPr>
          <w:p>
            <w:r>
              <w:rPr>
                <w:b/>
                <w:color w:val="B8892D"/>
                <w:sz w:val="22"/>
              </w:rPr>
              <w:t>Product promise</w:t>
              <w:br/>
            </w:r>
            <w:r>
              <w:rPr>
                <w:color w:val="151515"/>
                <w:sz w:val="20"/>
              </w:rPr>
              <w:t>Users should not merely use OMS. They should be able to run their organization on OMS.</w:t>
            </w:r>
          </w:p>
        </w:tc>
      </w:tr>
    </w:tbl>
    <w:p>
      <w:pPr>
        <w:spacing w:after="0"/>
      </w:pPr>
    </w:p>
    <w:p>
      <w:pPr>
        <w:pStyle w:val="Heading2"/>
      </w:pPr>
      <w:r>
        <w:t>Target operating layers</w:t>
      </w:r>
    </w:p>
    <w:tbl>
      <w:tblPr>
        <w:tblStyle w:val="TableGrid"/>
        <w:tblW w:type="auto" w:w="0"/>
        <w:jc w:val="center"/>
        <w:tblLook w:firstColumn="1" w:firstRow="1" w:lastColumn="0" w:lastRow="0" w:noHBand="0" w:noVBand="1" w:val="04A0"/>
      </w:tblPr>
      <w:tblGrid>
        <w:gridCol w:w="5083"/>
        <w:gridCol w:w="5083"/>
      </w:tblGrid>
      <w:tr>
        <w:tc>
          <w:tcPr>
            <w:tcW w:type="dxa" w:w="1872"/>
            <w:shd w:fill="151515"/>
            <w:vAlign w:val="center"/>
          </w:tcPr>
          <w:p>
            <w:r/>
            <w:r>
              <w:rPr>
                <w:rFonts w:ascii="Aptos" w:hAnsi="Aptos"/>
                <w:b/>
                <w:color w:val="FFFFFF"/>
                <w:sz w:val="18"/>
              </w:rPr>
              <w:t>Layer</w:t>
            </w:r>
          </w:p>
        </w:tc>
        <w:tc>
          <w:tcPr>
            <w:tcW w:type="dxa" w:w="8208"/>
            <w:shd w:fill="151515"/>
            <w:vAlign w:val="center"/>
          </w:tcPr>
          <w:p>
            <w:r/>
            <w:r>
              <w:rPr>
                <w:rFonts w:ascii="Aptos" w:hAnsi="Aptos"/>
                <w:b/>
                <w:color w:val="FFFFFF"/>
                <w:sz w:val="18"/>
              </w:rPr>
              <w:t>Purpose</w:t>
            </w:r>
          </w:p>
        </w:tc>
      </w:tr>
      <w:tr>
        <w:tc>
          <w:tcPr>
            <w:tcW w:type="dxa" w:w="1872"/>
            <w:shd w:fill="F7F7F5"/>
            <w:vAlign w:val="center"/>
          </w:tcPr>
          <w:p>
            <w:r/>
            <w:r>
              <w:rPr>
                <w:rFonts w:ascii="Aptos" w:hAnsi="Aptos"/>
                <w:b w:val="0"/>
                <w:color w:val="151515"/>
                <w:sz w:val="17"/>
              </w:rPr>
              <w:t>Identity</w:t>
            </w:r>
          </w:p>
        </w:tc>
        <w:tc>
          <w:tcPr>
            <w:tcW w:type="dxa" w:w="8208"/>
            <w:shd w:fill="F7F7F5"/>
            <w:vAlign w:val="center"/>
          </w:tcPr>
          <w:p>
            <w:r/>
            <w:r>
              <w:rPr>
                <w:rFonts w:ascii="Aptos" w:hAnsi="Aptos"/>
                <w:b w:val="0"/>
                <w:color w:val="151515"/>
                <w:sz w:val="17"/>
              </w:rPr>
              <w:t>Users, roles, permissions, organization scope and audit identity.</w:t>
            </w:r>
          </w:p>
        </w:tc>
      </w:tr>
      <w:tr>
        <w:tc>
          <w:tcPr>
            <w:tcW w:type="dxa" w:w="1872"/>
            <w:vAlign w:val="center"/>
          </w:tcPr>
          <w:p>
            <w:r/>
            <w:r>
              <w:rPr>
                <w:rFonts w:ascii="Aptos" w:hAnsi="Aptos"/>
                <w:b w:val="0"/>
                <w:color w:val="151515"/>
                <w:sz w:val="17"/>
              </w:rPr>
              <w:t>Entity</w:t>
            </w:r>
          </w:p>
        </w:tc>
        <w:tc>
          <w:tcPr>
            <w:tcW w:type="dxa" w:w="8208"/>
            <w:vAlign w:val="center"/>
          </w:tcPr>
          <w:p>
            <w:r/>
            <w:r>
              <w:rPr>
                <w:rFonts w:ascii="Aptos" w:hAnsi="Aptos"/>
                <w:b w:val="0"/>
                <w:color w:val="151515"/>
                <w:sz w:val="17"/>
              </w:rPr>
              <w:t>Legal companies, ownership, brands, banking and statutory details.</w:t>
            </w:r>
          </w:p>
        </w:tc>
      </w:tr>
      <w:tr>
        <w:tc>
          <w:tcPr>
            <w:tcW w:type="dxa" w:w="1872"/>
            <w:shd w:fill="F7F7F5"/>
            <w:vAlign w:val="center"/>
          </w:tcPr>
          <w:p>
            <w:r/>
            <w:r>
              <w:rPr>
                <w:rFonts w:ascii="Aptos" w:hAnsi="Aptos"/>
                <w:b w:val="0"/>
                <w:color w:val="151515"/>
                <w:sz w:val="17"/>
              </w:rPr>
              <w:t>Assets</w:t>
            </w:r>
          </w:p>
        </w:tc>
        <w:tc>
          <w:tcPr>
            <w:tcW w:type="dxa" w:w="8208"/>
            <w:shd w:fill="F7F7F5"/>
            <w:vAlign w:val="center"/>
          </w:tcPr>
          <w:p>
            <w:r/>
            <w:r>
              <w:rPr>
                <w:rFonts w:ascii="Aptos" w:hAnsi="Aptos"/>
                <w:b w:val="0"/>
                <w:color w:val="151515"/>
                <w:sz w:val="17"/>
              </w:rPr>
              <w:t>Properties, units, fleet and other organizational resources.</w:t>
            </w:r>
          </w:p>
        </w:tc>
      </w:tr>
      <w:tr>
        <w:tc>
          <w:tcPr>
            <w:tcW w:type="dxa" w:w="1872"/>
            <w:vAlign w:val="center"/>
          </w:tcPr>
          <w:p>
            <w:r/>
            <w:r>
              <w:rPr>
                <w:rFonts w:ascii="Aptos" w:hAnsi="Aptos"/>
                <w:b w:val="0"/>
                <w:color w:val="151515"/>
                <w:sz w:val="17"/>
              </w:rPr>
              <w:t>Operations</w:t>
            </w:r>
          </w:p>
        </w:tc>
        <w:tc>
          <w:tcPr>
            <w:tcW w:type="dxa" w:w="8208"/>
            <w:vAlign w:val="center"/>
          </w:tcPr>
          <w:p>
            <w:r/>
            <w:r>
              <w:rPr>
                <w:rFonts w:ascii="Aptos" w:hAnsi="Aptos"/>
                <w:b w:val="0"/>
                <w:color w:val="151515"/>
                <w:sz w:val="17"/>
              </w:rPr>
              <w:t>Tenants, leases, contractors, projects and workflows.</w:t>
            </w:r>
          </w:p>
        </w:tc>
      </w:tr>
      <w:tr>
        <w:tc>
          <w:tcPr>
            <w:tcW w:type="dxa" w:w="1872"/>
            <w:shd w:fill="F7F7F5"/>
            <w:vAlign w:val="center"/>
          </w:tcPr>
          <w:p>
            <w:r/>
            <w:r>
              <w:rPr>
                <w:rFonts w:ascii="Aptos" w:hAnsi="Aptos"/>
                <w:b w:val="0"/>
                <w:color w:val="151515"/>
                <w:sz w:val="17"/>
              </w:rPr>
              <w:t>Finance</w:t>
            </w:r>
          </w:p>
        </w:tc>
        <w:tc>
          <w:tcPr>
            <w:tcW w:type="dxa" w:w="8208"/>
            <w:shd w:fill="F7F7F5"/>
            <w:vAlign w:val="center"/>
          </w:tcPr>
          <w:p>
            <w:r/>
            <w:r>
              <w:rPr>
                <w:rFonts w:ascii="Aptos" w:hAnsi="Aptos"/>
                <w:b w:val="0"/>
                <w:color w:val="151515"/>
                <w:sz w:val="17"/>
              </w:rPr>
              <w:t>Invoices, receipts, receivables, expenses, ledgers and reporting.</w:t>
            </w:r>
          </w:p>
        </w:tc>
      </w:tr>
      <w:tr>
        <w:tc>
          <w:tcPr>
            <w:tcW w:type="dxa" w:w="1872"/>
            <w:vAlign w:val="center"/>
          </w:tcPr>
          <w:p>
            <w:r/>
            <w:r>
              <w:rPr>
                <w:rFonts w:ascii="Aptos" w:hAnsi="Aptos"/>
                <w:b w:val="0"/>
                <w:color w:val="151515"/>
                <w:sz w:val="17"/>
              </w:rPr>
              <w:t>Intelligence</w:t>
            </w:r>
          </w:p>
        </w:tc>
        <w:tc>
          <w:tcPr>
            <w:tcW w:type="dxa" w:w="8208"/>
            <w:vAlign w:val="center"/>
          </w:tcPr>
          <w:p>
            <w:r/>
            <w:r>
              <w:rPr>
                <w:rFonts w:ascii="Aptos" w:hAnsi="Aptos"/>
                <w:b w:val="0"/>
                <w:color w:val="151515"/>
                <w:sz w:val="17"/>
              </w:rPr>
              <w:t>Analytics, alerts, automation and permission-aware AI.</w:t>
            </w:r>
          </w:p>
        </w:tc>
      </w:tr>
    </w:tbl>
    <w:p>
      <w:pPr>
        <w:spacing w:after="0"/>
      </w:pPr>
    </w:p>
    <w:p>
      <w:pPr>
        <w:pStyle w:val="Heading1"/>
      </w:pPr>
      <w:r>
        <w:t>2. Architecture Principles</w:t>
      </w:r>
    </w:p>
    <w:p>
      <w:pPr>
        <w:pStyle w:val="ListNumber"/>
        <w:spacing w:after="60"/>
        <w:ind w:left="288"/>
      </w:pPr>
      <w:r>
        <w:t>Scalable: each design must remain credible at ten to one hundred times the present volume.</w:t>
      </w:r>
    </w:p>
    <w:p>
      <w:pPr>
        <w:pStyle w:val="ListNumber"/>
        <w:spacing w:after="60"/>
        <w:ind w:left="288"/>
      </w:pPr>
      <w:r>
        <w:t>Reusable: capabilities belong in engines and services, not duplicated page logic.</w:t>
      </w:r>
    </w:p>
    <w:p>
      <w:pPr>
        <w:pStyle w:val="ListNumber"/>
        <w:spacing w:after="60"/>
        <w:ind w:left="288"/>
      </w:pPr>
      <w:r>
        <w:t>Maintainable: additions should reduce or contain complexity rather than spread it.</w:t>
      </w:r>
    </w:p>
    <w:p>
      <w:pPr>
        <w:pStyle w:val="ListNumber"/>
        <w:spacing w:after="60"/>
        <w:ind w:left="288"/>
      </w:pPr>
      <w:r>
        <w:t>Commercial: every major capability must strengthen the product clients can buy and operate.</w:t>
      </w:r>
    </w:p>
    <w:p>
      <w:pPr>
        <w:pStyle w:val="ListNumber"/>
        <w:spacing w:after="60"/>
        <w:ind w:left="288"/>
      </w:pPr>
      <w:r>
        <w:t>Owner-aware: every record must have a clear system of record and organizational scope.</w:t>
      </w:r>
    </w:p>
    <w:p>
      <w:pPr>
        <w:pStyle w:val="ListNumber"/>
        <w:spacing w:after="60"/>
        <w:ind w:left="288"/>
      </w:pPr>
      <w:r>
        <w:t>Permission-aware: every query, workflow, report and AI response inherits the user’s allowed scope.</w:t>
      </w:r>
    </w:p>
    <w:p>
      <w:pPr>
        <w:pStyle w:val="ListNumber"/>
        <w:spacing w:after="60"/>
        <w:ind w:left="288"/>
      </w:pPr>
      <w:r>
        <w:t>Audit-first: material business changes must be traceable by actor, time, reason and previous state.</w:t>
      </w:r>
    </w:p>
    <w:p>
      <w:pPr>
        <w:pStyle w:val="ListNumber"/>
        <w:spacing w:after="60"/>
        <w:ind w:left="288"/>
      </w:pPr>
      <w:r>
        <w:t>Progressive delivery: stable engines are extended through controlled releases, not global rewrites.</w:t>
      </w:r>
    </w:p>
    <w:p>
      <w:pPr>
        <w:pStyle w:val="Heading1"/>
      </w:pPr>
      <w:r>
        <w:t>3. OMS Engine Model</w:t>
      </w:r>
    </w:p>
    <w:tbl>
      <w:tblPr>
        <w:tblStyle w:val="TableGrid"/>
        <w:tblW w:type="auto" w:w="0"/>
        <w:jc w:val="center"/>
        <w:tblLook w:firstColumn="1" w:firstRow="1" w:lastColumn="0" w:lastRow="0" w:noHBand="0" w:noVBand="1" w:val="04A0"/>
      </w:tblPr>
      <w:tblGrid>
        <w:gridCol w:w="5083"/>
        <w:gridCol w:w="5083"/>
      </w:tblGrid>
      <w:tr>
        <w:tc>
          <w:tcPr>
            <w:tcW w:type="dxa" w:w="2160"/>
            <w:shd w:fill="151515"/>
            <w:vAlign w:val="center"/>
          </w:tcPr>
          <w:p>
            <w:r/>
            <w:r>
              <w:rPr>
                <w:rFonts w:ascii="Aptos" w:hAnsi="Aptos"/>
                <w:b/>
                <w:color w:val="FFFFFF"/>
                <w:sz w:val="18"/>
              </w:rPr>
              <w:t>Engine</w:t>
            </w:r>
          </w:p>
        </w:tc>
        <w:tc>
          <w:tcPr>
            <w:tcW w:type="dxa" w:w="7920"/>
            <w:shd w:fill="151515"/>
            <w:vAlign w:val="center"/>
          </w:tcPr>
          <w:p>
            <w:r/>
            <w:r>
              <w:rPr>
                <w:rFonts w:ascii="Aptos" w:hAnsi="Aptos"/>
                <w:b/>
                <w:color w:val="FFFFFF"/>
                <w:sz w:val="18"/>
              </w:rPr>
              <w:t>Core responsibility</w:t>
            </w:r>
          </w:p>
        </w:tc>
      </w:tr>
      <w:tr>
        <w:tc>
          <w:tcPr>
            <w:tcW w:type="dxa" w:w="2160"/>
            <w:shd w:fill="F7F7F5"/>
            <w:vAlign w:val="center"/>
          </w:tcPr>
          <w:p>
            <w:r/>
            <w:r>
              <w:rPr>
                <w:rFonts w:ascii="Aptos" w:hAnsi="Aptos"/>
                <w:b w:val="0"/>
                <w:color w:val="151515"/>
                <w:sz w:val="17"/>
              </w:rPr>
              <w:t>Identity Engine</w:t>
            </w:r>
          </w:p>
        </w:tc>
        <w:tc>
          <w:tcPr>
            <w:tcW w:type="dxa" w:w="7920"/>
            <w:shd w:fill="F7F7F5"/>
            <w:vAlign w:val="center"/>
          </w:tcPr>
          <w:p>
            <w:r/>
            <w:r>
              <w:rPr>
                <w:rFonts w:ascii="Aptos" w:hAnsi="Aptos"/>
                <w:b w:val="0"/>
                <w:color w:val="151515"/>
                <w:sz w:val="17"/>
              </w:rPr>
              <w:t>Authentication, roles, permissions, assignments and access boundaries.</w:t>
            </w:r>
          </w:p>
        </w:tc>
      </w:tr>
      <w:tr>
        <w:tc>
          <w:tcPr>
            <w:tcW w:type="dxa" w:w="2160"/>
            <w:vAlign w:val="center"/>
          </w:tcPr>
          <w:p>
            <w:r/>
            <w:r>
              <w:rPr>
                <w:rFonts w:ascii="Aptos" w:hAnsi="Aptos"/>
                <w:b w:val="0"/>
                <w:color w:val="151515"/>
                <w:sz w:val="17"/>
              </w:rPr>
              <w:t>Entity Engine</w:t>
            </w:r>
          </w:p>
        </w:tc>
        <w:tc>
          <w:tcPr>
            <w:tcW w:type="dxa" w:w="7920"/>
            <w:vAlign w:val="center"/>
          </w:tcPr>
          <w:p>
            <w:r/>
            <w:r>
              <w:rPr>
                <w:rFonts w:ascii="Aptos" w:hAnsi="Aptos"/>
                <w:b w:val="0"/>
                <w:color w:val="151515"/>
                <w:sz w:val="17"/>
              </w:rPr>
              <w:t>Legal entities, ownership, branding, tax, bank accounts and numbering rules.</w:t>
            </w:r>
          </w:p>
        </w:tc>
      </w:tr>
      <w:tr>
        <w:tc>
          <w:tcPr>
            <w:tcW w:type="dxa" w:w="2160"/>
            <w:shd w:fill="F7F7F5"/>
            <w:vAlign w:val="center"/>
          </w:tcPr>
          <w:p>
            <w:r/>
            <w:r>
              <w:rPr>
                <w:rFonts w:ascii="Aptos" w:hAnsi="Aptos"/>
                <w:b w:val="0"/>
                <w:color w:val="151515"/>
                <w:sz w:val="17"/>
              </w:rPr>
              <w:t>Property Engine</w:t>
            </w:r>
          </w:p>
        </w:tc>
        <w:tc>
          <w:tcPr>
            <w:tcW w:type="dxa" w:w="7920"/>
            <w:shd w:fill="F7F7F5"/>
            <w:vAlign w:val="center"/>
          </w:tcPr>
          <w:p>
            <w:r/>
            <w:r>
              <w:rPr>
                <w:rFonts w:ascii="Aptos" w:hAnsi="Aptos"/>
                <w:b w:val="0"/>
                <w:color w:val="151515"/>
                <w:sz w:val="17"/>
              </w:rPr>
              <w:t>Property master records, classifications, valuations, managers and media.</w:t>
            </w:r>
          </w:p>
        </w:tc>
      </w:tr>
      <w:tr>
        <w:tc>
          <w:tcPr>
            <w:tcW w:type="dxa" w:w="2160"/>
            <w:vAlign w:val="center"/>
          </w:tcPr>
          <w:p>
            <w:r/>
            <w:r>
              <w:rPr>
                <w:rFonts w:ascii="Aptos" w:hAnsi="Aptos"/>
                <w:b w:val="0"/>
                <w:color w:val="151515"/>
                <w:sz w:val="17"/>
              </w:rPr>
              <w:t>Unit Engine</w:t>
            </w:r>
          </w:p>
        </w:tc>
        <w:tc>
          <w:tcPr>
            <w:tcW w:type="dxa" w:w="7920"/>
            <w:vAlign w:val="center"/>
          </w:tcPr>
          <w:p>
            <w:r/>
            <w:r>
              <w:rPr>
                <w:rFonts w:ascii="Aptos" w:hAnsi="Aptos"/>
                <w:b w:val="0"/>
                <w:color w:val="151515"/>
                <w:sz w:val="17"/>
              </w:rPr>
              <w:t>Rentable or usable spaces, occupancy, availability and unit characteristics.</w:t>
            </w:r>
          </w:p>
        </w:tc>
      </w:tr>
      <w:tr>
        <w:tc>
          <w:tcPr>
            <w:tcW w:type="dxa" w:w="2160"/>
            <w:shd w:fill="F7F7F5"/>
            <w:vAlign w:val="center"/>
          </w:tcPr>
          <w:p>
            <w:r/>
            <w:r>
              <w:rPr>
                <w:rFonts w:ascii="Aptos" w:hAnsi="Aptos"/>
                <w:b w:val="0"/>
                <w:color w:val="151515"/>
                <w:sz w:val="17"/>
              </w:rPr>
              <w:t>Tenant Engine</w:t>
            </w:r>
          </w:p>
        </w:tc>
        <w:tc>
          <w:tcPr>
            <w:tcW w:type="dxa" w:w="7920"/>
            <w:shd w:fill="F7F7F5"/>
            <w:vAlign w:val="center"/>
          </w:tcPr>
          <w:p>
            <w:r/>
            <w:r>
              <w:rPr>
                <w:rFonts w:ascii="Aptos" w:hAnsi="Aptos"/>
                <w:b w:val="0"/>
                <w:color w:val="151515"/>
                <w:sz w:val="17"/>
              </w:rPr>
              <w:t>Independent tenant profiles, contacts, compliance and relationship history.</w:t>
            </w:r>
          </w:p>
        </w:tc>
      </w:tr>
      <w:tr>
        <w:tc>
          <w:tcPr>
            <w:tcW w:type="dxa" w:w="2160"/>
            <w:vAlign w:val="center"/>
          </w:tcPr>
          <w:p>
            <w:r/>
            <w:r>
              <w:rPr>
                <w:rFonts w:ascii="Aptos" w:hAnsi="Aptos"/>
                <w:b w:val="0"/>
                <w:color w:val="151515"/>
                <w:sz w:val="17"/>
              </w:rPr>
              <w:t>Lease Engine</w:t>
            </w:r>
          </w:p>
        </w:tc>
        <w:tc>
          <w:tcPr>
            <w:tcW w:type="dxa" w:w="7920"/>
            <w:vAlign w:val="center"/>
          </w:tcPr>
          <w:p>
            <w:r/>
            <w:r>
              <w:rPr>
                <w:rFonts w:ascii="Aptos" w:hAnsi="Aptos"/>
                <w:b w:val="0"/>
                <w:color w:val="151515"/>
                <w:sz w:val="17"/>
              </w:rPr>
              <w:t>Agreement creation, terms, lifecycle, obligations, notices, renewals and termination.</w:t>
            </w:r>
          </w:p>
        </w:tc>
      </w:tr>
      <w:tr>
        <w:tc>
          <w:tcPr>
            <w:tcW w:type="dxa" w:w="2160"/>
            <w:shd w:fill="F7F7F5"/>
            <w:vAlign w:val="center"/>
          </w:tcPr>
          <w:p>
            <w:r/>
            <w:r>
              <w:rPr>
                <w:rFonts w:ascii="Aptos" w:hAnsi="Aptos"/>
                <w:b w:val="0"/>
                <w:color w:val="151515"/>
                <w:sz w:val="17"/>
              </w:rPr>
              <w:t>Rent Engine</w:t>
            </w:r>
          </w:p>
        </w:tc>
        <w:tc>
          <w:tcPr>
            <w:tcW w:type="dxa" w:w="7920"/>
            <w:shd w:fill="F7F7F5"/>
            <w:vAlign w:val="center"/>
          </w:tcPr>
          <w:p>
            <w:r/>
            <w:r>
              <w:rPr>
                <w:rFonts w:ascii="Aptos" w:hAnsi="Aptos"/>
                <w:b w:val="0"/>
                <w:color w:val="151515"/>
                <w:sz w:val="17"/>
              </w:rPr>
              <w:t>Schedules, receivables, receipts, balances, arrears, reminders and reconciliation.</w:t>
            </w:r>
          </w:p>
        </w:tc>
      </w:tr>
      <w:tr>
        <w:tc>
          <w:tcPr>
            <w:tcW w:type="dxa" w:w="2160"/>
            <w:vAlign w:val="center"/>
          </w:tcPr>
          <w:p>
            <w:r/>
            <w:r>
              <w:rPr>
                <w:rFonts w:ascii="Aptos" w:hAnsi="Aptos"/>
                <w:b w:val="0"/>
                <w:color w:val="151515"/>
                <w:sz w:val="17"/>
              </w:rPr>
              <w:t>Finance Engine</w:t>
            </w:r>
          </w:p>
        </w:tc>
        <w:tc>
          <w:tcPr>
            <w:tcW w:type="dxa" w:w="7920"/>
            <w:vAlign w:val="center"/>
          </w:tcPr>
          <w:p>
            <w:r/>
            <w:r>
              <w:rPr>
                <w:rFonts w:ascii="Aptos" w:hAnsi="Aptos"/>
                <w:b w:val="0"/>
                <w:color w:val="151515"/>
                <w:sz w:val="17"/>
              </w:rPr>
              <w:t>Invoices, journals, expenses, tax, budgets, cashflow and statements.</w:t>
            </w:r>
          </w:p>
        </w:tc>
      </w:tr>
      <w:tr>
        <w:tc>
          <w:tcPr>
            <w:tcW w:type="dxa" w:w="2160"/>
            <w:shd w:fill="F7F7F5"/>
            <w:vAlign w:val="center"/>
          </w:tcPr>
          <w:p>
            <w:r/>
            <w:r>
              <w:rPr>
                <w:rFonts w:ascii="Aptos" w:hAnsi="Aptos"/>
                <w:b w:val="0"/>
                <w:color w:val="151515"/>
                <w:sz w:val="17"/>
              </w:rPr>
              <w:t>Document Engine</w:t>
            </w:r>
          </w:p>
        </w:tc>
        <w:tc>
          <w:tcPr>
            <w:tcW w:type="dxa" w:w="7920"/>
            <w:shd w:fill="F7F7F5"/>
            <w:vAlign w:val="center"/>
          </w:tcPr>
          <w:p>
            <w:r/>
            <w:r>
              <w:rPr>
                <w:rFonts w:ascii="Aptos" w:hAnsi="Aptos"/>
                <w:b w:val="0"/>
                <w:color w:val="151515"/>
                <w:sz w:val="17"/>
              </w:rPr>
              <w:t>Files, versions, links, classifications, retention and verification.</w:t>
            </w:r>
          </w:p>
        </w:tc>
      </w:tr>
      <w:tr>
        <w:tc>
          <w:tcPr>
            <w:tcW w:type="dxa" w:w="2160"/>
            <w:vAlign w:val="center"/>
          </w:tcPr>
          <w:p>
            <w:r/>
            <w:r>
              <w:rPr>
                <w:rFonts w:ascii="Aptos" w:hAnsi="Aptos"/>
                <w:b w:val="0"/>
                <w:color w:val="151515"/>
                <w:sz w:val="17"/>
              </w:rPr>
              <w:t>Project Engine</w:t>
            </w:r>
          </w:p>
        </w:tc>
        <w:tc>
          <w:tcPr>
            <w:tcW w:type="dxa" w:w="7920"/>
            <w:vAlign w:val="center"/>
          </w:tcPr>
          <w:p>
            <w:r/>
            <w:r>
              <w:rPr>
                <w:rFonts w:ascii="Aptos" w:hAnsi="Aptos"/>
                <w:b w:val="0"/>
                <w:color w:val="151515"/>
                <w:sz w:val="17"/>
              </w:rPr>
              <w:t>Projects, contracts, milestones, progress, risks and contractor delivery.</w:t>
            </w:r>
          </w:p>
        </w:tc>
      </w:tr>
      <w:tr>
        <w:tc>
          <w:tcPr>
            <w:tcW w:type="dxa" w:w="2160"/>
            <w:shd w:fill="F7F7F5"/>
            <w:vAlign w:val="center"/>
          </w:tcPr>
          <w:p>
            <w:r/>
            <w:r>
              <w:rPr>
                <w:rFonts w:ascii="Aptos" w:hAnsi="Aptos"/>
                <w:b w:val="0"/>
                <w:color w:val="151515"/>
                <w:sz w:val="17"/>
              </w:rPr>
              <w:t>Analytics Engine</w:t>
            </w:r>
          </w:p>
        </w:tc>
        <w:tc>
          <w:tcPr>
            <w:tcW w:type="dxa" w:w="7920"/>
            <w:shd w:fill="F7F7F5"/>
            <w:vAlign w:val="center"/>
          </w:tcPr>
          <w:p>
            <w:r/>
            <w:r>
              <w:rPr>
                <w:rFonts w:ascii="Aptos" w:hAnsi="Aptos"/>
                <w:b w:val="0"/>
                <w:color w:val="151515"/>
                <w:sz w:val="17"/>
              </w:rPr>
              <w:t>KPIs, reports, trends, exceptions and executive intelligence.</w:t>
            </w:r>
          </w:p>
        </w:tc>
      </w:tr>
      <w:tr>
        <w:tc>
          <w:tcPr>
            <w:tcW w:type="dxa" w:w="2160"/>
            <w:vAlign w:val="center"/>
          </w:tcPr>
          <w:p>
            <w:r/>
            <w:r>
              <w:rPr>
                <w:rFonts w:ascii="Aptos" w:hAnsi="Aptos"/>
                <w:b w:val="0"/>
                <w:color w:val="151515"/>
                <w:sz w:val="17"/>
              </w:rPr>
              <w:t>AI Engine</w:t>
            </w:r>
          </w:p>
        </w:tc>
        <w:tc>
          <w:tcPr>
            <w:tcW w:type="dxa" w:w="7920"/>
            <w:vAlign w:val="center"/>
          </w:tcPr>
          <w:p>
            <w:r/>
            <w:r>
              <w:rPr>
                <w:rFonts w:ascii="Aptos" w:hAnsi="Aptos"/>
                <w:b w:val="0"/>
                <w:color w:val="151515"/>
                <w:sz w:val="17"/>
              </w:rPr>
              <w:t>Natural-language access, recommendations, summaries and controlled automation.</w:t>
            </w:r>
          </w:p>
        </w:tc>
      </w:tr>
    </w:tbl>
    <w:p>
      <w:pPr>
        <w:spacing w:after="0"/>
      </w:pPr>
    </w:p>
    <w:tbl>
      <w:tblPr>
        <w:tblW w:type="auto" w:w="0"/>
        <w:jc w:val="center"/>
        <w:tblLayout w:type="autofit"/>
        <w:tblLook w:firstColumn="1" w:firstRow="1" w:lastColumn="0" w:lastRow="0" w:noHBand="0" w:noVBand="1" w:val="04A0"/>
      </w:tblPr>
      <w:tblGrid>
        <w:gridCol w:w="10166"/>
      </w:tblGrid>
      <w:tr>
        <w:tc>
          <w:tcPr>
            <w:tcW w:type="dxa" w:w="10166"/>
            <w:shd w:fill="F5F1E8"/>
          </w:tcPr>
          <w:p>
            <w:r>
              <w:rPr>
                <w:b/>
                <w:color w:val="B8892D"/>
                <w:sz w:val="22"/>
              </w:rPr>
              <w:t>Page rule</w:t>
              <w:br/>
            </w:r>
            <w:r>
              <w:rPr>
                <w:color w:val="151515"/>
                <w:sz w:val="20"/>
              </w:rPr>
              <w:t>Pages are views into engines. Business logic should not exist only inside a page when it can be provided as a reusable service.</w:t>
            </w:r>
          </w:p>
        </w:tc>
      </w:tr>
    </w:tbl>
    <w:p>
      <w:pPr>
        <w:spacing w:after="0"/>
      </w:pPr>
    </w:p>
    <w:p>
      <w:pPr>
        <w:pStyle w:val="Heading1"/>
      </w:pPr>
      <w:r>
        <w:t>4. Information Ownership</w:t>
      </w:r>
    </w:p>
    <w:p>
      <w:r>
        <w:t>Every field has one authoritative owner. Other engines reference it rather than creating competing copies.</w:t>
      </w:r>
    </w:p>
    <w:tbl>
      <w:tblPr>
        <w:tblStyle w:val="TableGrid"/>
        <w:tblW w:type="auto" w:w="0"/>
        <w:jc w:val="center"/>
        <w:tblLook w:firstColumn="1" w:firstRow="1" w:lastColumn="0" w:lastRow="0" w:noHBand="0" w:noVBand="1" w:val="04A0"/>
      </w:tblPr>
      <w:tblGrid>
        <w:gridCol w:w="3389"/>
        <w:gridCol w:w="3389"/>
        <w:gridCol w:w="3389"/>
      </w:tblGrid>
      <w:tr>
        <w:tc>
          <w:tcPr>
            <w:tcW w:type="dxa" w:w="2592"/>
            <w:shd w:fill="151515"/>
            <w:vAlign w:val="center"/>
          </w:tcPr>
          <w:p>
            <w:r/>
            <w:r>
              <w:rPr>
                <w:rFonts w:ascii="Aptos" w:hAnsi="Aptos"/>
                <w:b/>
                <w:color w:val="FFFFFF"/>
                <w:sz w:val="18"/>
              </w:rPr>
              <w:t>Information</w:t>
            </w:r>
          </w:p>
        </w:tc>
        <w:tc>
          <w:tcPr>
            <w:tcW w:type="dxa" w:w="2448"/>
            <w:shd w:fill="151515"/>
            <w:vAlign w:val="center"/>
          </w:tcPr>
          <w:p>
            <w:r/>
            <w:r>
              <w:rPr>
                <w:rFonts w:ascii="Aptos" w:hAnsi="Aptos"/>
                <w:b/>
                <w:color w:val="FFFFFF"/>
                <w:sz w:val="18"/>
              </w:rPr>
              <w:t>Authoritative owner</w:t>
            </w:r>
          </w:p>
        </w:tc>
        <w:tc>
          <w:tcPr>
            <w:tcW w:type="dxa" w:w="5040"/>
            <w:shd w:fill="151515"/>
            <w:vAlign w:val="center"/>
          </w:tcPr>
          <w:p>
            <w:r/>
            <w:r>
              <w:rPr>
                <w:rFonts w:ascii="Aptos" w:hAnsi="Aptos"/>
                <w:b/>
                <w:color w:val="FFFFFF"/>
                <w:sz w:val="18"/>
              </w:rPr>
              <w:t>Referencing engines</w:t>
            </w:r>
          </w:p>
        </w:tc>
      </w:tr>
      <w:tr>
        <w:tc>
          <w:tcPr>
            <w:tcW w:type="dxa" w:w="2592"/>
            <w:shd w:fill="F7F7F5"/>
            <w:vAlign w:val="center"/>
          </w:tcPr>
          <w:p>
            <w:r/>
            <w:r>
              <w:rPr>
                <w:rFonts w:ascii="Aptos" w:hAnsi="Aptos"/>
                <w:b w:val="0"/>
                <w:color w:val="151515"/>
                <w:sz w:val="17"/>
              </w:rPr>
              <w:t>Tenant contact details</w:t>
            </w:r>
          </w:p>
        </w:tc>
        <w:tc>
          <w:tcPr>
            <w:tcW w:type="dxa" w:w="2448"/>
            <w:shd w:fill="F7F7F5"/>
            <w:vAlign w:val="center"/>
          </w:tcPr>
          <w:p>
            <w:r/>
            <w:r>
              <w:rPr>
                <w:rFonts w:ascii="Aptos" w:hAnsi="Aptos"/>
                <w:b w:val="0"/>
                <w:color w:val="151515"/>
                <w:sz w:val="17"/>
              </w:rPr>
              <w:t>Tenant Engine</w:t>
            </w:r>
          </w:p>
        </w:tc>
        <w:tc>
          <w:tcPr>
            <w:tcW w:type="dxa" w:w="5040"/>
            <w:shd w:fill="F7F7F5"/>
            <w:vAlign w:val="center"/>
          </w:tcPr>
          <w:p>
            <w:r/>
            <w:r>
              <w:rPr>
                <w:rFonts w:ascii="Aptos" w:hAnsi="Aptos"/>
                <w:b w:val="0"/>
                <w:color w:val="151515"/>
                <w:sz w:val="17"/>
              </w:rPr>
              <w:t>Lease, Rent, Finance, Communications</w:t>
            </w:r>
          </w:p>
        </w:tc>
      </w:tr>
      <w:tr>
        <w:tc>
          <w:tcPr>
            <w:tcW w:type="dxa" w:w="2592"/>
            <w:vAlign w:val="center"/>
          </w:tcPr>
          <w:p>
            <w:r/>
            <w:r>
              <w:rPr>
                <w:rFonts w:ascii="Aptos" w:hAnsi="Aptos"/>
                <w:b w:val="0"/>
                <w:color w:val="151515"/>
                <w:sz w:val="17"/>
              </w:rPr>
              <w:t>Property address</w:t>
            </w:r>
          </w:p>
        </w:tc>
        <w:tc>
          <w:tcPr>
            <w:tcW w:type="dxa" w:w="2448"/>
            <w:vAlign w:val="center"/>
          </w:tcPr>
          <w:p>
            <w:r/>
            <w:r>
              <w:rPr>
                <w:rFonts w:ascii="Aptos" w:hAnsi="Aptos"/>
                <w:b w:val="0"/>
                <w:color w:val="151515"/>
                <w:sz w:val="17"/>
              </w:rPr>
              <w:t>Property Engine</w:t>
            </w:r>
          </w:p>
        </w:tc>
        <w:tc>
          <w:tcPr>
            <w:tcW w:type="dxa" w:w="5040"/>
            <w:vAlign w:val="center"/>
          </w:tcPr>
          <w:p>
            <w:r/>
            <w:r>
              <w:rPr>
                <w:rFonts w:ascii="Aptos" w:hAnsi="Aptos"/>
                <w:b w:val="0"/>
                <w:color w:val="151515"/>
                <w:sz w:val="17"/>
              </w:rPr>
              <w:t>Lease, Entity, Projects, Documents</w:t>
            </w:r>
          </w:p>
        </w:tc>
      </w:tr>
      <w:tr>
        <w:tc>
          <w:tcPr>
            <w:tcW w:type="dxa" w:w="2592"/>
            <w:shd w:fill="F7F7F5"/>
            <w:vAlign w:val="center"/>
          </w:tcPr>
          <w:p>
            <w:r/>
            <w:r>
              <w:rPr>
                <w:rFonts w:ascii="Aptos" w:hAnsi="Aptos"/>
                <w:b w:val="0"/>
                <w:color w:val="151515"/>
                <w:sz w:val="17"/>
              </w:rPr>
              <w:t>Monthly rent and escalation</w:t>
            </w:r>
          </w:p>
        </w:tc>
        <w:tc>
          <w:tcPr>
            <w:tcW w:type="dxa" w:w="2448"/>
            <w:shd w:fill="F7F7F5"/>
            <w:vAlign w:val="center"/>
          </w:tcPr>
          <w:p>
            <w:r/>
            <w:r>
              <w:rPr>
                <w:rFonts w:ascii="Aptos" w:hAnsi="Aptos"/>
                <w:b w:val="0"/>
                <w:color w:val="151515"/>
                <w:sz w:val="17"/>
              </w:rPr>
              <w:t>Lease Engine</w:t>
            </w:r>
          </w:p>
        </w:tc>
        <w:tc>
          <w:tcPr>
            <w:tcW w:type="dxa" w:w="5040"/>
            <w:shd w:fill="F7F7F5"/>
            <w:vAlign w:val="center"/>
          </w:tcPr>
          <w:p>
            <w:r/>
            <w:r>
              <w:rPr>
                <w:rFonts w:ascii="Aptos" w:hAnsi="Aptos"/>
                <w:b w:val="0"/>
                <w:color w:val="151515"/>
                <w:sz w:val="17"/>
              </w:rPr>
              <w:t>Rent, Finance, Analytics</w:t>
            </w:r>
          </w:p>
        </w:tc>
      </w:tr>
      <w:tr>
        <w:tc>
          <w:tcPr>
            <w:tcW w:type="dxa" w:w="2592"/>
            <w:vAlign w:val="center"/>
          </w:tcPr>
          <w:p>
            <w:r/>
            <w:r>
              <w:rPr>
                <w:rFonts w:ascii="Aptos" w:hAnsi="Aptos"/>
                <w:b w:val="0"/>
                <w:color w:val="151515"/>
                <w:sz w:val="17"/>
              </w:rPr>
              <w:t>Payment transaction</w:t>
            </w:r>
          </w:p>
        </w:tc>
        <w:tc>
          <w:tcPr>
            <w:tcW w:type="dxa" w:w="2448"/>
            <w:vAlign w:val="center"/>
          </w:tcPr>
          <w:p>
            <w:r/>
            <w:r>
              <w:rPr>
                <w:rFonts w:ascii="Aptos" w:hAnsi="Aptos"/>
                <w:b w:val="0"/>
                <w:color w:val="151515"/>
                <w:sz w:val="17"/>
              </w:rPr>
              <w:t>Rent Engine</w:t>
            </w:r>
          </w:p>
        </w:tc>
        <w:tc>
          <w:tcPr>
            <w:tcW w:type="dxa" w:w="5040"/>
            <w:vAlign w:val="center"/>
          </w:tcPr>
          <w:p>
            <w:r/>
            <w:r>
              <w:rPr>
                <w:rFonts w:ascii="Aptos" w:hAnsi="Aptos"/>
                <w:b w:val="0"/>
                <w:color w:val="151515"/>
                <w:sz w:val="17"/>
              </w:rPr>
              <w:t>Finance, Tenant, Lease, Analytics</w:t>
            </w:r>
          </w:p>
        </w:tc>
      </w:tr>
      <w:tr>
        <w:tc>
          <w:tcPr>
            <w:tcW w:type="dxa" w:w="2592"/>
            <w:shd w:fill="F7F7F5"/>
            <w:vAlign w:val="center"/>
          </w:tcPr>
          <w:p>
            <w:r/>
            <w:r>
              <w:rPr>
                <w:rFonts w:ascii="Aptos" w:hAnsi="Aptos"/>
                <w:b w:val="0"/>
                <w:color w:val="151515"/>
                <w:sz w:val="17"/>
              </w:rPr>
              <w:t>Invoice</w:t>
            </w:r>
          </w:p>
        </w:tc>
        <w:tc>
          <w:tcPr>
            <w:tcW w:type="dxa" w:w="2448"/>
            <w:shd w:fill="F7F7F5"/>
            <w:vAlign w:val="center"/>
          </w:tcPr>
          <w:p>
            <w:r/>
            <w:r>
              <w:rPr>
                <w:rFonts w:ascii="Aptos" w:hAnsi="Aptos"/>
                <w:b w:val="0"/>
                <w:color w:val="151515"/>
                <w:sz w:val="17"/>
              </w:rPr>
              <w:t>Finance Engine</w:t>
            </w:r>
          </w:p>
        </w:tc>
        <w:tc>
          <w:tcPr>
            <w:tcW w:type="dxa" w:w="5040"/>
            <w:shd w:fill="F7F7F5"/>
            <w:vAlign w:val="center"/>
          </w:tcPr>
          <w:p>
            <w:r/>
            <w:r>
              <w:rPr>
                <w:rFonts w:ascii="Aptos" w:hAnsi="Aptos"/>
                <w:b w:val="0"/>
                <w:color w:val="151515"/>
                <w:sz w:val="17"/>
              </w:rPr>
              <w:t>Rent, Tenant, Lease, Entity</w:t>
            </w:r>
          </w:p>
        </w:tc>
      </w:tr>
      <w:tr>
        <w:tc>
          <w:tcPr>
            <w:tcW w:type="dxa" w:w="2592"/>
            <w:vAlign w:val="center"/>
          </w:tcPr>
          <w:p>
            <w:r/>
            <w:r>
              <w:rPr>
                <w:rFonts w:ascii="Aptos" w:hAnsi="Aptos"/>
                <w:b w:val="0"/>
                <w:color w:val="151515"/>
                <w:sz w:val="17"/>
              </w:rPr>
              <w:t>Entity logo and tax details</w:t>
            </w:r>
          </w:p>
        </w:tc>
        <w:tc>
          <w:tcPr>
            <w:tcW w:type="dxa" w:w="2448"/>
            <w:vAlign w:val="center"/>
          </w:tcPr>
          <w:p>
            <w:r/>
            <w:r>
              <w:rPr>
                <w:rFonts w:ascii="Aptos" w:hAnsi="Aptos"/>
                <w:b w:val="0"/>
                <w:color w:val="151515"/>
                <w:sz w:val="17"/>
              </w:rPr>
              <w:t>Entity Engine</w:t>
            </w:r>
          </w:p>
        </w:tc>
        <w:tc>
          <w:tcPr>
            <w:tcW w:type="dxa" w:w="5040"/>
            <w:vAlign w:val="center"/>
          </w:tcPr>
          <w:p>
            <w:r/>
            <w:r>
              <w:rPr>
                <w:rFonts w:ascii="Aptos" w:hAnsi="Aptos"/>
                <w:b w:val="0"/>
                <w:color w:val="151515"/>
                <w:sz w:val="17"/>
              </w:rPr>
              <w:t>Lease PDF, invoices, receipts, reports</w:t>
            </w:r>
          </w:p>
        </w:tc>
      </w:tr>
      <w:tr>
        <w:tc>
          <w:tcPr>
            <w:tcW w:type="dxa" w:w="2592"/>
            <w:shd w:fill="F7F7F5"/>
            <w:vAlign w:val="center"/>
          </w:tcPr>
          <w:p>
            <w:r/>
            <w:r>
              <w:rPr>
                <w:rFonts w:ascii="Aptos" w:hAnsi="Aptos"/>
                <w:b w:val="0"/>
                <w:color w:val="151515"/>
                <w:sz w:val="17"/>
              </w:rPr>
              <w:t>User access scope</w:t>
            </w:r>
          </w:p>
        </w:tc>
        <w:tc>
          <w:tcPr>
            <w:tcW w:type="dxa" w:w="2448"/>
            <w:shd w:fill="F7F7F5"/>
            <w:vAlign w:val="center"/>
          </w:tcPr>
          <w:p>
            <w:r/>
            <w:r>
              <w:rPr>
                <w:rFonts w:ascii="Aptos" w:hAnsi="Aptos"/>
                <w:b w:val="0"/>
                <w:color w:val="151515"/>
                <w:sz w:val="17"/>
              </w:rPr>
              <w:t>Identity Engine</w:t>
            </w:r>
          </w:p>
        </w:tc>
        <w:tc>
          <w:tcPr>
            <w:tcW w:type="dxa" w:w="5040"/>
            <w:shd w:fill="F7F7F5"/>
            <w:vAlign w:val="center"/>
          </w:tcPr>
          <w:p>
            <w:r/>
            <w:r>
              <w:rPr>
                <w:rFonts w:ascii="Aptos" w:hAnsi="Aptos"/>
                <w:b w:val="0"/>
                <w:color w:val="151515"/>
                <w:sz w:val="17"/>
              </w:rPr>
              <w:t>Every engine and AI response</w:t>
            </w:r>
          </w:p>
        </w:tc>
      </w:tr>
    </w:tbl>
    <w:p>
      <w:pPr>
        <w:spacing w:after="0"/>
      </w:pPr>
    </w:p>
    <w:p>
      <w:pPr>
        <w:pStyle w:val="Heading1"/>
      </w:pPr>
      <w:r>
        <w:t>5. Enterprise Data Hierarchy</w:t>
      </w:r>
    </w:p>
    <w:tbl>
      <w:tblPr>
        <w:tblW w:type="auto" w:w="0"/>
        <w:jc w:val="center"/>
        <w:tblLayout w:type="autofit"/>
        <w:tblLook w:firstColumn="1" w:firstRow="1" w:lastColumn="0" w:lastRow="0" w:noHBand="0" w:noVBand="1" w:val="04A0"/>
      </w:tblPr>
      <w:tblGrid>
        <w:gridCol w:w="10166"/>
      </w:tblGrid>
      <w:tr>
        <w:tc>
          <w:tcPr>
            <w:tcW w:type="dxa" w:w="10166"/>
            <w:shd w:fill="F5F1E8"/>
          </w:tcPr>
          <w:p>
            <w:r>
              <w:rPr>
                <w:b/>
                <w:color w:val="B8892D"/>
                <w:sz w:val="22"/>
              </w:rPr>
              <w:t>Primary hierarchy</w:t>
              <w:br/>
            </w:r>
            <w:r>
              <w:rPr>
                <w:color w:val="151515"/>
                <w:sz w:val="20"/>
              </w:rPr>
              <w:t>Ultimate Owner → Organization → Entity → Property → Unit → Tenant Relationship → Lease → Invoice → Payment</w:t>
            </w:r>
          </w:p>
        </w:tc>
      </w:tr>
    </w:tbl>
    <w:p>
      <w:pPr>
        <w:spacing w:after="0"/>
      </w:pPr>
    </w:p>
    <w:p>
      <w:r>
        <w:t>A tenant remains an independent profile. The tenant-to-unit relationship is established through a lease or assignment, which protects history and supports one tenant having multiple agreements.</w:t>
      </w:r>
    </w:p>
    <w:p>
      <w:pPr>
        <w:pStyle w:val="Heading1"/>
      </w:pPr>
      <w:r>
        <w:t>6. Identity and Permission Model</w:t>
      </w:r>
    </w:p>
    <w:tbl>
      <w:tblPr>
        <w:tblStyle w:val="TableGrid"/>
        <w:tblW w:type="auto" w:w="0"/>
        <w:jc w:val="center"/>
        <w:tblLook w:firstColumn="1" w:firstRow="1" w:lastColumn="0" w:lastRow="0" w:noHBand="0" w:noVBand="1" w:val="04A0"/>
      </w:tblPr>
      <w:tblGrid>
        <w:gridCol w:w="5083"/>
        <w:gridCol w:w="5083"/>
      </w:tblGrid>
      <w:tr>
        <w:tc>
          <w:tcPr>
            <w:tcW w:type="dxa" w:w="2880"/>
            <w:shd w:fill="151515"/>
            <w:vAlign w:val="center"/>
          </w:tcPr>
          <w:p>
            <w:r/>
            <w:r>
              <w:rPr>
                <w:rFonts w:ascii="Aptos" w:hAnsi="Aptos"/>
                <w:b/>
                <w:color w:val="FFFFFF"/>
                <w:sz w:val="18"/>
              </w:rPr>
              <w:t>Role</w:t>
            </w:r>
          </w:p>
        </w:tc>
        <w:tc>
          <w:tcPr>
            <w:tcW w:type="dxa" w:w="7200"/>
            <w:shd w:fill="151515"/>
            <w:vAlign w:val="center"/>
          </w:tcPr>
          <w:p>
            <w:r/>
            <w:r>
              <w:rPr>
                <w:rFonts w:ascii="Aptos" w:hAnsi="Aptos"/>
                <w:b/>
                <w:color w:val="FFFFFF"/>
                <w:sz w:val="18"/>
              </w:rPr>
              <w:t>Default scope</w:t>
            </w:r>
          </w:p>
        </w:tc>
      </w:tr>
      <w:tr>
        <w:tc>
          <w:tcPr>
            <w:tcW w:type="dxa" w:w="2880"/>
            <w:shd w:fill="F7F7F5"/>
            <w:vAlign w:val="center"/>
          </w:tcPr>
          <w:p>
            <w:r/>
            <w:r>
              <w:rPr>
                <w:rFonts w:ascii="Aptos" w:hAnsi="Aptos"/>
                <w:b w:val="0"/>
                <w:color w:val="151515"/>
                <w:sz w:val="17"/>
              </w:rPr>
              <w:t>Super Admin</w:t>
            </w:r>
          </w:p>
        </w:tc>
        <w:tc>
          <w:tcPr>
            <w:tcW w:type="dxa" w:w="7200"/>
            <w:shd w:fill="F7F7F5"/>
            <w:vAlign w:val="center"/>
          </w:tcPr>
          <w:p>
            <w:r/>
            <w:r>
              <w:rPr>
                <w:rFonts w:ascii="Aptos" w:hAnsi="Aptos"/>
                <w:b w:val="0"/>
                <w:color w:val="151515"/>
                <w:sz w:val="17"/>
              </w:rPr>
              <w:t>All organizations, entities, modules and administrative functions.</w:t>
            </w:r>
          </w:p>
        </w:tc>
      </w:tr>
      <w:tr>
        <w:tc>
          <w:tcPr>
            <w:tcW w:type="dxa" w:w="2880"/>
            <w:vAlign w:val="center"/>
          </w:tcPr>
          <w:p>
            <w:r/>
            <w:r>
              <w:rPr>
                <w:rFonts w:ascii="Aptos" w:hAnsi="Aptos"/>
                <w:b w:val="0"/>
                <w:color w:val="151515"/>
                <w:sz w:val="17"/>
              </w:rPr>
              <w:t>Admin</w:t>
            </w:r>
          </w:p>
        </w:tc>
        <w:tc>
          <w:tcPr>
            <w:tcW w:type="dxa" w:w="7200"/>
            <w:vAlign w:val="center"/>
          </w:tcPr>
          <w:p>
            <w:r/>
            <w:r>
              <w:rPr>
                <w:rFonts w:ascii="Aptos" w:hAnsi="Aptos"/>
                <w:b w:val="0"/>
                <w:color w:val="151515"/>
                <w:sz w:val="17"/>
              </w:rPr>
              <w:t>System administration and support within assigned organizational scope.</w:t>
            </w:r>
          </w:p>
        </w:tc>
      </w:tr>
      <w:tr>
        <w:tc>
          <w:tcPr>
            <w:tcW w:type="dxa" w:w="2880"/>
            <w:shd w:fill="F7F7F5"/>
            <w:vAlign w:val="center"/>
          </w:tcPr>
          <w:p>
            <w:r/>
            <w:r>
              <w:rPr>
                <w:rFonts w:ascii="Aptos" w:hAnsi="Aptos"/>
                <w:b w:val="0"/>
                <w:color w:val="151515"/>
                <w:sz w:val="17"/>
              </w:rPr>
              <w:t>Owner View</w:t>
            </w:r>
          </w:p>
        </w:tc>
        <w:tc>
          <w:tcPr>
            <w:tcW w:type="dxa" w:w="7200"/>
            <w:shd w:fill="F7F7F5"/>
            <w:vAlign w:val="center"/>
          </w:tcPr>
          <w:p>
            <w:r/>
            <w:r>
              <w:rPr>
                <w:rFonts w:ascii="Aptos" w:hAnsi="Aptos"/>
                <w:b w:val="0"/>
                <w:color w:val="151515"/>
                <w:sz w:val="17"/>
              </w:rPr>
              <w:t>Executive visibility over assigned entities and portfolios; editing only where granted.</w:t>
            </w:r>
          </w:p>
        </w:tc>
      </w:tr>
      <w:tr>
        <w:tc>
          <w:tcPr>
            <w:tcW w:type="dxa" w:w="2880"/>
            <w:vAlign w:val="center"/>
          </w:tcPr>
          <w:p>
            <w:r/>
            <w:r>
              <w:rPr>
                <w:rFonts w:ascii="Aptos" w:hAnsi="Aptos"/>
                <w:b w:val="0"/>
                <w:color w:val="151515"/>
                <w:sz w:val="17"/>
              </w:rPr>
              <w:t>Entity Manager</w:t>
            </w:r>
          </w:p>
        </w:tc>
        <w:tc>
          <w:tcPr>
            <w:tcW w:type="dxa" w:w="7200"/>
            <w:vAlign w:val="center"/>
          </w:tcPr>
          <w:p>
            <w:r/>
            <w:r>
              <w:rPr>
                <w:rFonts w:ascii="Aptos" w:hAnsi="Aptos"/>
                <w:b w:val="0"/>
                <w:color w:val="151515"/>
                <w:sz w:val="17"/>
              </w:rPr>
              <w:t>Assigned entities and all permitted downstream assets and operations.</w:t>
            </w:r>
          </w:p>
        </w:tc>
      </w:tr>
      <w:tr>
        <w:tc>
          <w:tcPr>
            <w:tcW w:type="dxa" w:w="2880"/>
            <w:shd w:fill="F7F7F5"/>
            <w:vAlign w:val="center"/>
          </w:tcPr>
          <w:p>
            <w:r/>
            <w:r>
              <w:rPr>
                <w:rFonts w:ascii="Aptos" w:hAnsi="Aptos"/>
                <w:b w:val="0"/>
                <w:color w:val="151515"/>
                <w:sz w:val="17"/>
              </w:rPr>
              <w:t>Project Manager</w:t>
            </w:r>
          </w:p>
        </w:tc>
        <w:tc>
          <w:tcPr>
            <w:tcW w:type="dxa" w:w="7200"/>
            <w:shd w:fill="F7F7F5"/>
            <w:vAlign w:val="center"/>
          </w:tcPr>
          <w:p>
            <w:r/>
            <w:r>
              <w:rPr>
                <w:rFonts w:ascii="Aptos" w:hAnsi="Aptos"/>
                <w:b w:val="0"/>
                <w:color w:val="151515"/>
                <w:sz w:val="17"/>
              </w:rPr>
              <w:t>Assigned projects, properties, contracts and operational records.</w:t>
            </w:r>
          </w:p>
        </w:tc>
      </w:tr>
      <w:tr>
        <w:tc>
          <w:tcPr>
            <w:tcW w:type="dxa" w:w="2880"/>
            <w:vAlign w:val="center"/>
          </w:tcPr>
          <w:p>
            <w:r/>
            <w:r>
              <w:rPr>
                <w:rFonts w:ascii="Aptos" w:hAnsi="Aptos"/>
                <w:b w:val="0"/>
                <w:color w:val="151515"/>
                <w:sz w:val="17"/>
              </w:rPr>
              <w:t>Finance Manager / Accountant</w:t>
            </w:r>
          </w:p>
        </w:tc>
        <w:tc>
          <w:tcPr>
            <w:tcW w:type="dxa" w:w="7200"/>
            <w:vAlign w:val="center"/>
          </w:tcPr>
          <w:p>
            <w:r/>
            <w:r>
              <w:rPr>
                <w:rFonts w:ascii="Aptos" w:hAnsi="Aptos"/>
                <w:b w:val="0"/>
                <w:color w:val="151515"/>
                <w:sz w:val="17"/>
              </w:rPr>
              <w:t>Invoices, payments, receipts, tax, reports and permitted entity records.</w:t>
            </w:r>
          </w:p>
        </w:tc>
      </w:tr>
      <w:tr>
        <w:tc>
          <w:tcPr>
            <w:tcW w:type="dxa" w:w="2880"/>
            <w:shd w:fill="F7F7F5"/>
            <w:vAlign w:val="center"/>
          </w:tcPr>
          <w:p>
            <w:r/>
            <w:r>
              <w:rPr>
                <w:rFonts w:ascii="Aptos" w:hAnsi="Aptos"/>
                <w:b w:val="0"/>
                <w:color w:val="151515"/>
                <w:sz w:val="17"/>
              </w:rPr>
              <w:t>Operational roles</w:t>
            </w:r>
          </w:p>
        </w:tc>
        <w:tc>
          <w:tcPr>
            <w:tcW w:type="dxa" w:w="7200"/>
            <w:shd w:fill="F7F7F5"/>
            <w:vAlign w:val="center"/>
          </w:tcPr>
          <w:p>
            <w:r/>
            <w:r>
              <w:rPr>
                <w:rFonts w:ascii="Aptos" w:hAnsi="Aptos"/>
                <w:b w:val="0"/>
                <w:color w:val="151515"/>
                <w:sz w:val="17"/>
              </w:rPr>
              <w:t>Task-specific access to properties, tenants, maintenance, fleet or documents.</w:t>
            </w:r>
          </w:p>
        </w:tc>
      </w:tr>
    </w:tbl>
    <w:p>
      <w:pPr>
        <w:spacing w:after="0"/>
      </w:pPr>
    </w:p>
    <w:p>
      <w:pPr>
        <w:pStyle w:val="ListBullet"/>
        <w:spacing w:after="60"/>
        <w:ind w:left="288"/>
      </w:pPr>
      <w:r>
        <w:t>Permissions must be action-based: view, create, edit, approve, terminate, export and administer.</w:t>
      </w:r>
    </w:p>
    <w:p>
      <w:pPr>
        <w:pStyle w:val="ListBullet"/>
        <w:spacing w:after="60"/>
        <w:ind w:left="288"/>
      </w:pPr>
      <w:r>
        <w:t>Entity assignment is a first-class boundary, not merely a filter.</w:t>
      </w:r>
    </w:p>
    <w:p>
      <w:pPr>
        <w:pStyle w:val="ListBullet"/>
        <w:spacing w:after="60"/>
        <w:ind w:left="288"/>
      </w:pPr>
      <w:r>
        <w:t>AI must never reveal information outside the same permissions applied to the user interface.</w:t>
      </w:r>
    </w:p>
    <w:p>
      <w:pPr>
        <w:pStyle w:val="Heading1"/>
      </w:pPr>
      <w:r>
        <w:t>7. Design System</w:t>
      </w:r>
    </w:p>
    <w:p>
      <w:r>
        <w:t>OMS uses an executive dark interface with semantic color. Color is reserved for identity, status and action—not decoration.</w:t>
      </w:r>
    </w:p>
    <w:tbl>
      <w:tblPr>
        <w:tblStyle w:val="TableGrid"/>
        <w:tblW w:type="auto" w:w="0"/>
        <w:jc w:val="center"/>
        <w:tblLook w:firstColumn="1" w:firstRow="1" w:lastColumn="0" w:lastRow="0" w:noHBand="0" w:noVBand="1" w:val="04A0"/>
      </w:tblPr>
      <w:tblGrid>
        <w:gridCol w:w="3389"/>
        <w:gridCol w:w="3389"/>
        <w:gridCol w:w="3389"/>
      </w:tblGrid>
      <w:tr>
        <w:tc>
          <w:tcPr>
            <w:tcW w:type="dxa" w:w="2016"/>
            <w:shd w:fill="151515"/>
            <w:vAlign w:val="center"/>
          </w:tcPr>
          <w:p>
            <w:r/>
            <w:r>
              <w:rPr>
                <w:rFonts w:ascii="Aptos" w:hAnsi="Aptos"/>
                <w:b/>
                <w:color w:val="FFFFFF"/>
                <w:sz w:val="18"/>
              </w:rPr>
              <w:t>Token</w:t>
            </w:r>
          </w:p>
        </w:tc>
        <w:tc>
          <w:tcPr>
            <w:tcW w:type="dxa" w:w="1872"/>
            <w:shd w:fill="151515"/>
            <w:vAlign w:val="center"/>
          </w:tcPr>
          <w:p>
            <w:r/>
            <w:r>
              <w:rPr>
                <w:rFonts w:ascii="Aptos" w:hAnsi="Aptos"/>
                <w:b/>
                <w:color w:val="FFFFFF"/>
                <w:sz w:val="18"/>
              </w:rPr>
              <w:t>Value</w:t>
            </w:r>
          </w:p>
        </w:tc>
        <w:tc>
          <w:tcPr>
            <w:tcW w:type="dxa" w:w="6192"/>
            <w:shd w:fill="151515"/>
            <w:vAlign w:val="center"/>
          </w:tcPr>
          <w:p>
            <w:r/>
            <w:r>
              <w:rPr>
                <w:rFonts w:ascii="Aptos" w:hAnsi="Aptos"/>
                <w:b/>
                <w:color w:val="FFFFFF"/>
                <w:sz w:val="18"/>
              </w:rPr>
              <w:t>Use</w:t>
            </w:r>
          </w:p>
        </w:tc>
      </w:tr>
      <w:tr>
        <w:tc>
          <w:tcPr>
            <w:tcW w:type="dxa" w:w="2016"/>
            <w:shd w:fill="F7F7F5"/>
            <w:vAlign w:val="center"/>
          </w:tcPr>
          <w:p>
            <w:r/>
            <w:r>
              <w:rPr>
                <w:rFonts w:ascii="Aptos" w:hAnsi="Aptos"/>
                <w:b w:val="0"/>
                <w:color w:val="151515"/>
                <w:sz w:val="17"/>
              </w:rPr>
              <w:t>OMS Gold</w:t>
            </w:r>
          </w:p>
        </w:tc>
        <w:tc>
          <w:tcPr>
            <w:tcW w:type="dxa" w:w="1872"/>
            <w:shd w:fill="F7F7F5"/>
            <w:vAlign w:val="center"/>
          </w:tcPr>
          <w:p>
            <w:r/>
            <w:r>
              <w:rPr>
                <w:rFonts w:ascii="Aptos" w:hAnsi="Aptos"/>
                <w:b w:val="0"/>
                <w:color w:val="151515"/>
                <w:sz w:val="17"/>
              </w:rPr>
              <w:t>#B8892D</w:t>
            </w:r>
          </w:p>
        </w:tc>
        <w:tc>
          <w:tcPr>
            <w:tcW w:type="dxa" w:w="6192"/>
            <w:shd w:fill="F7F7F5"/>
            <w:vAlign w:val="center"/>
          </w:tcPr>
          <w:p>
            <w:r/>
            <w:r>
              <w:rPr>
                <w:rFonts w:ascii="Aptos" w:hAnsi="Aptos"/>
                <w:b w:val="0"/>
                <w:color w:val="151515"/>
                <w:sz w:val="17"/>
              </w:rPr>
              <w:t>Brand identity, primary actions, active navigation and selected states.</w:t>
            </w:r>
          </w:p>
        </w:tc>
      </w:tr>
      <w:tr>
        <w:tc>
          <w:tcPr>
            <w:tcW w:type="dxa" w:w="2016"/>
            <w:vAlign w:val="center"/>
          </w:tcPr>
          <w:p>
            <w:r/>
            <w:r>
              <w:rPr>
                <w:rFonts w:ascii="Aptos" w:hAnsi="Aptos"/>
                <w:b w:val="0"/>
                <w:color w:val="151515"/>
                <w:sz w:val="17"/>
              </w:rPr>
              <w:t>Emerald</w:t>
            </w:r>
          </w:p>
        </w:tc>
        <w:tc>
          <w:tcPr>
            <w:tcW w:type="dxa" w:w="1872"/>
            <w:vAlign w:val="center"/>
          </w:tcPr>
          <w:p>
            <w:r/>
            <w:r>
              <w:rPr>
                <w:rFonts w:ascii="Aptos" w:hAnsi="Aptos"/>
                <w:b w:val="0"/>
                <w:color w:val="151515"/>
                <w:sz w:val="17"/>
              </w:rPr>
              <w:t>#1FA56A</w:t>
            </w:r>
          </w:p>
        </w:tc>
        <w:tc>
          <w:tcPr>
            <w:tcW w:type="dxa" w:w="6192"/>
            <w:vAlign w:val="center"/>
          </w:tcPr>
          <w:p>
            <w:r/>
            <w:r>
              <w:rPr>
                <w:rFonts w:ascii="Aptos" w:hAnsi="Aptos"/>
                <w:b w:val="0"/>
                <w:color w:val="151515"/>
                <w:sz w:val="17"/>
              </w:rPr>
              <w:t>Healthy, successful, paid, occupied and active states.</w:t>
            </w:r>
          </w:p>
        </w:tc>
      </w:tr>
      <w:tr>
        <w:tc>
          <w:tcPr>
            <w:tcW w:type="dxa" w:w="2016"/>
            <w:shd w:fill="F7F7F5"/>
            <w:vAlign w:val="center"/>
          </w:tcPr>
          <w:p>
            <w:r/>
            <w:r>
              <w:rPr>
                <w:rFonts w:ascii="Aptos" w:hAnsi="Aptos"/>
                <w:b w:val="0"/>
                <w:color w:val="151515"/>
                <w:sz w:val="17"/>
              </w:rPr>
              <w:t>Amber</w:t>
            </w:r>
          </w:p>
        </w:tc>
        <w:tc>
          <w:tcPr>
            <w:tcW w:type="dxa" w:w="1872"/>
            <w:shd w:fill="F7F7F5"/>
            <w:vAlign w:val="center"/>
          </w:tcPr>
          <w:p>
            <w:r/>
            <w:r>
              <w:rPr>
                <w:rFonts w:ascii="Aptos" w:hAnsi="Aptos"/>
                <w:b w:val="0"/>
                <w:color w:val="151515"/>
                <w:sz w:val="17"/>
              </w:rPr>
              <w:t>#D99A2B</w:t>
            </w:r>
          </w:p>
        </w:tc>
        <w:tc>
          <w:tcPr>
            <w:tcW w:type="dxa" w:w="6192"/>
            <w:shd w:fill="F7F7F5"/>
            <w:vAlign w:val="center"/>
          </w:tcPr>
          <w:p>
            <w:r/>
            <w:r>
              <w:rPr>
                <w:rFonts w:ascii="Aptos" w:hAnsi="Aptos"/>
                <w:b w:val="0"/>
                <w:color w:val="151515"/>
                <w:sz w:val="17"/>
              </w:rPr>
              <w:t>Pending, due soon, warning and attention states.</w:t>
            </w:r>
          </w:p>
        </w:tc>
      </w:tr>
      <w:tr>
        <w:tc>
          <w:tcPr>
            <w:tcW w:type="dxa" w:w="2016"/>
            <w:vAlign w:val="center"/>
          </w:tcPr>
          <w:p>
            <w:r/>
            <w:r>
              <w:rPr>
                <w:rFonts w:ascii="Aptos" w:hAnsi="Aptos"/>
                <w:b w:val="0"/>
                <w:color w:val="151515"/>
                <w:sz w:val="17"/>
              </w:rPr>
              <w:t>Deep Red</w:t>
            </w:r>
          </w:p>
        </w:tc>
        <w:tc>
          <w:tcPr>
            <w:tcW w:type="dxa" w:w="1872"/>
            <w:vAlign w:val="center"/>
          </w:tcPr>
          <w:p>
            <w:r/>
            <w:r>
              <w:rPr>
                <w:rFonts w:ascii="Aptos" w:hAnsi="Aptos"/>
                <w:b w:val="0"/>
                <w:color w:val="151515"/>
                <w:sz w:val="17"/>
              </w:rPr>
              <w:t>#B94A48</w:t>
            </w:r>
          </w:p>
        </w:tc>
        <w:tc>
          <w:tcPr>
            <w:tcW w:type="dxa" w:w="6192"/>
            <w:vAlign w:val="center"/>
          </w:tcPr>
          <w:p>
            <w:r/>
            <w:r>
              <w:rPr>
                <w:rFonts w:ascii="Aptos" w:hAnsi="Aptos"/>
                <w:b w:val="0"/>
                <w:color w:val="151515"/>
                <w:sz w:val="17"/>
              </w:rPr>
              <w:t>Failure, overdue, destructive and terminated states.</w:t>
            </w:r>
          </w:p>
        </w:tc>
      </w:tr>
      <w:tr>
        <w:tc>
          <w:tcPr>
            <w:tcW w:type="dxa" w:w="2016"/>
            <w:shd w:fill="F7F7F5"/>
            <w:vAlign w:val="center"/>
          </w:tcPr>
          <w:p>
            <w:r/>
            <w:r>
              <w:rPr>
                <w:rFonts w:ascii="Aptos" w:hAnsi="Aptos"/>
                <w:b w:val="0"/>
                <w:color w:val="151515"/>
                <w:sz w:val="17"/>
              </w:rPr>
              <w:t>Slate</w:t>
            </w:r>
          </w:p>
        </w:tc>
        <w:tc>
          <w:tcPr>
            <w:tcW w:type="dxa" w:w="1872"/>
            <w:shd w:fill="F7F7F5"/>
            <w:vAlign w:val="center"/>
          </w:tcPr>
          <w:p>
            <w:r/>
            <w:r>
              <w:rPr>
                <w:rFonts w:ascii="Aptos" w:hAnsi="Aptos"/>
                <w:b w:val="0"/>
                <w:color w:val="151515"/>
                <w:sz w:val="17"/>
              </w:rPr>
              <w:t>Neutral scale</w:t>
            </w:r>
          </w:p>
        </w:tc>
        <w:tc>
          <w:tcPr>
            <w:tcW w:type="dxa" w:w="6192"/>
            <w:shd w:fill="F7F7F5"/>
            <w:vAlign w:val="center"/>
          </w:tcPr>
          <w:p>
            <w:r/>
            <w:r>
              <w:rPr>
                <w:rFonts w:ascii="Aptos" w:hAnsi="Aptos"/>
                <w:b w:val="0"/>
                <w:color w:val="151515"/>
                <w:sz w:val="17"/>
              </w:rPr>
              <w:t>Information, labels, secondary controls and inactive states.</w:t>
            </w:r>
          </w:p>
        </w:tc>
      </w:tr>
      <w:tr>
        <w:tc>
          <w:tcPr>
            <w:tcW w:type="dxa" w:w="2016"/>
            <w:vAlign w:val="center"/>
          </w:tcPr>
          <w:p>
            <w:r/>
            <w:r>
              <w:rPr>
                <w:rFonts w:ascii="Aptos" w:hAnsi="Aptos"/>
                <w:b w:val="0"/>
                <w:color w:val="151515"/>
                <w:sz w:val="17"/>
              </w:rPr>
              <w:t>Charcoal / Graphite</w:t>
            </w:r>
          </w:p>
        </w:tc>
        <w:tc>
          <w:tcPr>
            <w:tcW w:type="dxa" w:w="1872"/>
            <w:vAlign w:val="center"/>
          </w:tcPr>
          <w:p>
            <w:r/>
            <w:r>
              <w:rPr>
                <w:rFonts w:ascii="Aptos" w:hAnsi="Aptos"/>
                <w:b w:val="0"/>
                <w:color w:val="151515"/>
                <w:sz w:val="17"/>
              </w:rPr>
              <w:t>Dark surfaces</w:t>
            </w:r>
          </w:p>
        </w:tc>
        <w:tc>
          <w:tcPr>
            <w:tcW w:type="dxa" w:w="6192"/>
            <w:vAlign w:val="center"/>
          </w:tcPr>
          <w:p>
            <w:r/>
            <w:r>
              <w:rPr>
                <w:rFonts w:ascii="Aptos" w:hAnsi="Aptos"/>
                <w:b w:val="0"/>
                <w:color w:val="151515"/>
                <w:sz w:val="17"/>
              </w:rPr>
              <w:t>Application background, cards, workspaces and navigation.</w:t>
            </w:r>
          </w:p>
        </w:tc>
      </w:tr>
    </w:tbl>
    <w:p>
      <w:pPr>
        <w:spacing w:after="0"/>
      </w:pPr>
    </w:p>
    <w:tbl>
      <w:tblPr>
        <w:tblW w:type="auto" w:w="0"/>
        <w:jc w:val="center"/>
        <w:tblLayout w:type="autofit"/>
        <w:tblLook w:firstColumn="1" w:firstRow="1" w:lastColumn="0" w:lastRow="0" w:noHBand="0" w:noVBand="1" w:val="04A0"/>
      </w:tblPr>
      <w:tblGrid>
        <w:gridCol w:w="10166"/>
      </w:tblGrid>
      <w:tr>
        <w:tc>
          <w:tcPr>
            <w:tcW w:type="dxa" w:w="10166"/>
            <w:shd w:fill="F5F1E8"/>
          </w:tcPr>
          <w:p>
            <w:r>
              <w:rPr>
                <w:b/>
                <w:color w:val="B8892D"/>
                <w:sz w:val="22"/>
              </w:rPr>
              <w:t>Color rule</w:t>
              <w:br/>
            </w:r>
            <w:r>
              <w:rPr>
                <w:color w:val="151515"/>
                <w:sz w:val="20"/>
              </w:rPr>
              <w:t>If a color draws attention without communicating meaning, it does not belong in OMS.</w:t>
            </w:r>
          </w:p>
        </w:tc>
      </w:tr>
    </w:tbl>
    <w:p>
      <w:pPr>
        <w:spacing w:after="0"/>
      </w:pPr>
    </w:p>
    <w:p>
      <w:pPr>
        <w:pStyle w:val="ListBullet"/>
        <w:spacing w:after="60"/>
        <w:ind w:left="288"/>
      </w:pPr>
      <w:r>
        <w:t>No bright blue as a default OMS accent.</w:t>
      </w:r>
    </w:p>
    <w:p>
      <w:pPr>
        <w:pStyle w:val="ListBullet"/>
        <w:spacing w:after="60"/>
        <w:ind w:left="288"/>
      </w:pPr>
      <w:r>
        <w:t>Completed modules keep their architecture; only theme tokens may be normalized.</w:t>
      </w:r>
    </w:p>
    <w:p>
      <w:pPr>
        <w:pStyle w:val="ListBullet"/>
        <w:spacing w:after="60"/>
        <w:ind w:left="288"/>
      </w:pPr>
      <w:r>
        <w:t>Reusable patterns: page shell, workspace hero, statistics cards, tabs, tables, drawers, forms, badges, timelines, empty states and action menus.</w:t>
      </w:r>
    </w:p>
    <w:p>
      <w:pPr>
        <w:pStyle w:val="Heading1"/>
      </w:pPr>
      <w:r>
        <w:t>8. Engine 6: Lease Engine</w:t>
      </w:r>
    </w:p>
    <w:p>
      <w:r>
        <w:t>The Lease Engine is the authoritative agreement lifecycle engine. It connects the tenant, entity, property, unit, contractual terms, financial obligations and operational events.</w:t>
      </w:r>
    </w:p>
    <w:tbl>
      <w:tblPr>
        <w:tblStyle w:val="TableGrid"/>
        <w:tblW w:type="auto" w:w="0"/>
        <w:jc w:val="center"/>
        <w:tblLook w:firstColumn="1" w:firstRow="1" w:lastColumn="0" w:lastRow="0" w:noHBand="0" w:noVBand="1" w:val="04A0"/>
      </w:tblPr>
      <w:tblGrid>
        <w:gridCol w:w="5083"/>
        <w:gridCol w:w="5083"/>
      </w:tblGrid>
      <w:tr>
        <w:tc>
          <w:tcPr>
            <w:tcW w:type="dxa" w:w="2448"/>
            <w:shd w:fill="151515"/>
            <w:vAlign w:val="center"/>
          </w:tcPr>
          <w:p>
            <w:r/>
            <w:r>
              <w:rPr>
                <w:rFonts w:ascii="Aptos" w:hAnsi="Aptos"/>
                <w:b/>
                <w:color w:val="FFFFFF"/>
                <w:sz w:val="18"/>
              </w:rPr>
              <w:t>Lifecycle state</w:t>
            </w:r>
          </w:p>
        </w:tc>
        <w:tc>
          <w:tcPr>
            <w:tcW w:type="dxa" w:w="7632"/>
            <w:shd w:fill="151515"/>
            <w:vAlign w:val="center"/>
          </w:tcPr>
          <w:p>
            <w:r/>
            <w:r>
              <w:rPr>
                <w:rFonts w:ascii="Aptos" w:hAnsi="Aptos"/>
                <w:b/>
                <w:color w:val="FFFFFF"/>
                <w:sz w:val="18"/>
              </w:rPr>
              <w:t>Meaning</w:t>
            </w:r>
          </w:p>
        </w:tc>
      </w:tr>
      <w:tr>
        <w:tc>
          <w:tcPr>
            <w:tcW w:type="dxa" w:w="2448"/>
            <w:shd w:fill="F7F7F5"/>
            <w:vAlign w:val="center"/>
          </w:tcPr>
          <w:p>
            <w:r/>
            <w:r>
              <w:rPr>
                <w:rFonts w:ascii="Aptos" w:hAnsi="Aptos"/>
                <w:b w:val="0"/>
                <w:color w:val="151515"/>
                <w:sz w:val="17"/>
              </w:rPr>
              <w:t>Draft</w:t>
            </w:r>
          </w:p>
        </w:tc>
        <w:tc>
          <w:tcPr>
            <w:tcW w:type="dxa" w:w="7632"/>
            <w:shd w:fill="F7F7F5"/>
            <w:vAlign w:val="center"/>
          </w:tcPr>
          <w:p>
            <w:r/>
            <w:r>
              <w:rPr>
                <w:rFonts w:ascii="Aptos" w:hAnsi="Aptos"/>
                <w:b w:val="0"/>
                <w:color w:val="151515"/>
                <w:sz w:val="17"/>
              </w:rPr>
              <w:t>Agreement is incomplete and has no operational effect.</w:t>
            </w:r>
          </w:p>
        </w:tc>
      </w:tr>
      <w:tr>
        <w:tc>
          <w:tcPr>
            <w:tcW w:type="dxa" w:w="2448"/>
            <w:vAlign w:val="center"/>
          </w:tcPr>
          <w:p>
            <w:r/>
            <w:r>
              <w:rPr>
                <w:rFonts w:ascii="Aptos" w:hAnsi="Aptos"/>
                <w:b w:val="0"/>
                <w:color w:val="151515"/>
                <w:sz w:val="17"/>
              </w:rPr>
              <w:t>Pending Approval</w:t>
            </w:r>
          </w:p>
        </w:tc>
        <w:tc>
          <w:tcPr>
            <w:tcW w:type="dxa" w:w="7632"/>
            <w:vAlign w:val="center"/>
          </w:tcPr>
          <w:p>
            <w:r/>
            <w:r>
              <w:rPr>
                <w:rFonts w:ascii="Aptos" w:hAnsi="Aptos"/>
                <w:b w:val="0"/>
                <w:color w:val="151515"/>
                <w:sz w:val="17"/>
              </w:rPr>
              <w:t>Submitted for authorized review.</w:t>
            </w:r>
          </w:p>
        </w:tc>
      </w:tr>
      <w:tr>
        <w:tc>
          <w:tcPr>
            <w:tcW w:type="dxa" w:w="2448"/>
            <w:shd w:fill="F7F7F5"/>
            <w:vAlign w:val="center"/>
          </w:tcPr>
          <w:p>
            <w:r/>
            <w:r>
              <w:rPr>
                <w:rFonts w:ascii="Aptos" w:hAnsi="Aptos"/>
                <w:b w:val="0"/>
                <w:color w:val="151515"/>
                <w:sz w:val="17"/>
              </w:rPr>
              <w:t>Approved</w:t>
            </w:r>
          </w:p>
        </w:tc>
        <w:tc>
          <w:tcPr>
            <w:tcW w:type="dxa" w:w="7632"/>
            <w:shd w:fill="F7F7F5"/>
            <w:vAlign w:val="center"/>
          </w:tcPr>
          <w:p>
            <w:r/>
            <w:r>
              <w:rPr>
                <w:rFonts w:ascii="Aptos" w:hAnsi="Aptos"/>
                <w:b w:val="0"/>
                <w:color w:val="151515"/>
                <w:sz w:val="17"/>
              </w:rPr>
              <w:t>Commercial and legal terms approved; awaiting execution.</w:t>
            </w:r>
          </w:p>
        </w:tc>
      </w:tr>
      <w:tr>
        <w:tc>
          <w:tcPr>
            <w:tcW w:type="dxa" w:w="2448"/>
            <w:vAlign w:val="center"/>
          </w:tcPr>
          <w:p>
            <w:r/>
            <w:r>
              <w:rPr>
                <w:rFonts w:ascii="Aptos" w:hAnsi="Aptos"/>
                <w:b w:val="0"/>
                <w:color w:val="151515"/>
                <w:sz w:val="17"/>
              </w:rPr>
              <w:t>Signed</w:t>
            </w:r>
          </w:p>
        </w:tc>
        <w:tc>
          <w:tcPr>
            <w:tcW w:type="dxa" w:w="7632"/>
            <w:vAlign w:val="center"/>
          </w:tcPr>
          <w:p>
            <w:r/>
            <w:r>
              <w:rPr>
                <w:rFonts w:ascii="Aptos" w:hAnsi="Aptos"/>
                <w:b w:val="0"/>
                <w:color w:val="151515"/>
                <w:sz w:val="17"/>
              </w:rPr>
              <w:t>Execution evidence recorded; activation may be scheduled.</w:t>
            </w:r>
          </w:p>
        </w:tc>
      </w:tr>
      <w:tr>
        <w:tc>
          <w:tcPr>
            <w:tcW w:type="dxa" w:w="2448"/>
            <w:shd w:fill="F7F7F5"/>
            <w:vAlign w:val="center"/>
          </w:tcPr>
          <w:p>
            <w:r/>
            <w:r>
              <w:rPr>
                <w:rFonts w:ascii="Aptos" w:hAnsi="Aptos"/>
                <w:b w:val="0"/>
                <w:color w:val="151515"/>
                <w:sz w:val="17"/>
              </w:rPr>
              <w:t>Active</w:t>
            </w:r>
          </w:p>
        </w:tc>
        <w:tc>
          <w:tcPr>
            <w:tcW w:type="dxa" w:w="7632"/>
            <w:shd w:fill="F7F7F5"/>
            <w:vAlign w:val="center"/>
          </w:tcPr>
          <w:p>
            <w:r/>
            <w:r>
              <w:rPr>
                <w:rFonts w:ascii="Aptos" w:hAnsi="Aptos"/>
                <w:b w:val="0"/>
                <w:color w:val="151515"/>
                <w:sz w:val="17"/>
              </w:rPr>
              <w:t>Agreement is in force and drives receivables.</w:t>
            </w:r>
          </w:p>
        </w:tc>
      </w:tr>
      <w:tr>
        <w:tc>
          <w:tcPr>
            <w:tcW w:type="dxa" w:w="2448"/>
            <w:vAlign w:val="center"/>
          </w:tcPr>
          <w:p>
            <w:r/>
            <w:r>
              <w:rPr>
                <w:rFonts w:ascii="Aptos" w:hAnsi="Aptos"/>
                <w:b w:val="0"/>
                <w:color w:val="151515"/>
                <w:sz w:val="17"/>
              </w:rPr>
              <w:t>Renewal Due</w:t>
            </w:r>
          </w:p>
        </w:tc>
        <w:tc>
          <w:tcPr>
            <w:tcW w:type="dxa" w:w="7632"/>
            <w:vAlign w:val="center"/>
          </w:tcPr>
          <w:p>
            <w:r/>
            <w:r>
              <w:rPr>
                <w:rFonts w:ascii="Aptos" w:hAnsi="Aptos"/>
                <w:b w:val="0"/>
                <w:color w:val="151515"/>
                <w:sz w:val="17"/>
              </w:rPr>
              <w:t>Agreement has entered the configured renewal window.</w:t>
            </w:r>
          </w:p>
        </w:tc>
      </w:tr>
      <w:tr>
        <w:tc>
          <w:tcPr>
            <w:tcW w:type="dxa" w:w="2448"/>
            <w:shd w:fill="F7F7F5"/>
            <w:vAlign w:val="center"/>
          </w:tcPr>
          <w:p>
            <w:r/>
            <w:r>
              <w:rPr>
                <w:rFonts w:ascii="Aptos" w:hAnsi="Aptos"/>
                <w:b w:val="0"/>
                <w:color w:val="151515"/>
                <w:sz w:val="17"/>
              </w:rPr>
              <w:t>Renewed</w:t>
            </w:r>
          </w:p>
        </w:tc>
        <w:tc>
          <w:tcPr>
            <w:tcW w:type="dxa" w:w="7632"/>
            <w:shd w:fill="F7F7F5"/>
            <w:vAlign w:val="center"/>
          </w:tcPr>
          <w:p>
            <w:r/>
            <w:r>
              <w:rPr>
                <w:rFonts w:ascii="Aptos" w:hAnsi="Aptos"/>
                <w:b w:val="0"/>
                <w:color w:val="151515"/>
                <w:sz w:val="17"/>
              </w:rPr>
              <w:t>A successor agreement has been created and linked.</w:t>
            </w:r>
          </w:p>
        </w:tc>
      </w:tr>
      <w:tr>
        <w:tc>
          <w:tcPr>
            <w:tcW w:type="dxa" w:w="2448"/>
            <w:vAlign w:val="center"/>
          </w:tcPr>
          <w:p>
            <w:r/>
            <w:r>
              <w:rPr>
                <w:rFonts w:ascii="Aptos" w:hAnsi="Aptos"/>
                <w:b w:val="0"/>
                <w:color w:val="151515"/>
                <w:sz w:val="17"/>
              </w:rPr>
              <w:t>Expired</w:t>
            </w:r>
          </w:p>
        </w:tc>
        <w:tc>
          <w:tcPr>
            <w:tcW w:type="dxa" w:w="7632"/>
            <w:vAlign w:val="center"/>
          </w:tcPr>
          <w:p>
            <w:r/>
            <w:r>
              <w:rPr>
                <w:rFonts w:ascii="Aptos" w:hAnsi="Aptos"/>
                <w:b w:val="0"/>
                <w:color w:val="151515"/>
                <w:sz w:val="17"/>
              </w:rPr>
              <w:t>End date passed without renewal.</w:t>
            </w:r>
          </w:p>
        </w:tc>
      </w:tr>
      <w:tr>
        <w:tc>
          <w:tcPr>
            <w:tcW w:type="dxa" w:w="2448"/>
            <w:shd w:fill="F7F7F5"/>
            <w:vAlign w:val="center"/>
          </w:tcPr>
          <w:p>
            <w:r/>
            <w:r>
              <w:rPr>
                <w:rFonts w:ascii="Aptos" w:hAnsi="Aptos"/>
                <w:b w:val="0"/>
                <w:color w:val="151515"/>
                <w:sz w:val="17"/>
              </w:rPr>
              <w:t>Terminated</w:t>
            </w:r>
          </w:p>
        </w:tc>
        <w:tc>
          <w:tcPr>
            <w:tcW w:type="dxa" w:w="7632"/>
            <w:shd w:fill="F7F7F5"/>
            <w:vAlign w:val="center"/>
          </w:tcPr>
          <w:p>
            <w:r/>
            <w:r>
              <w:rPr>
                <w:rFonts w:ascii="Aptos" w:hAnsi="Aptos"/>
                <w:b w:val="0"/>
                <w:color w:val="151515"/>
                <w:sz w:val="17"/>
              </w:rPr>
              <w:t>Ended early through an authorized termination workflow.</w:t>
            </w:r>
          </w:p>
        </w:tc>
      </w:tr>
      <w:tr>
        <w:tc>
          <w:tcPr>
            <w:tcW w:type="dxa" w:w="2448"/>
            <w:vAlign w:val="center"/>
          </w:tcPr>
          <w:p>
            <w:r/>
            <w:r>
              <w:rPr>
                <w:rFonts w:ascii="Aptos" w:hAnsi="Aptos"/>
                <w:b w:val="0"/>
                <w:color w:val="151515"/>
                <w:sz w:val="17"/>
              </w:rPr>
              <w:t>Archived</w:t>
            </w:r>
          </w:p>
        </w:tc>
        <w:tc>
          <w:tcPr>
            <w:tcW w:type="dxa" w:w="7632"/>
            <w:vAlign w:val="center"/>
          </w:tcPr>
          <w:p>
            <w:r/>
            <w:r>
              <w:rPr>
                <w:rFonts w:ascii="Aptos" w:hAnsi="Aptos"/>
                <w:b w:val="0"/>
                <w:color w:val="151515"/>
                <w:sz w:val="17"/>
              </w:rPr>
              <w:t>Closed historical record retained for audit and reporting.</w:t>
            </w:r>
          </w:p>
        </w:tc>
      </w:tr>
    </w:tbl>
    <w:p>
      <w:pPr>
        <w:spacing w:after="0"/>
      </w:pPr>
    </w:p>
    <w:p>
      <w:pPr>
        <w:pStyle w:val="Heading2"/>
      </w:pPr>
      <w:r>
        <w:t>Lease Engine capabilities</w:t>
      </w:r>
    </w:p>
    <w:p>
      <w:pPr>
        <w:pStyle w:val="ListBullet"/>
        <w:spacing w:after="60"/>
        <w:ind w:left="288"/>
      </w:pPr>
      <w:r>
        <w:t>Guided agreement creation by property type and lease purpose.</w:t>
      </w:r>
    </w:p>
    <w:p>
      <w:pPr>
        <w:pStyle w:val="ListBullet"/>
        <w:spacing w:after="60"/>
        <w:ind w:left="288"/>
      </w:pPr>
      <w:r>
        <w:t>Entity-branded agreement generation with landlord, tenant, property, unit and clause data.</w:t>
      </w:r>
    </w:p>
    <w:p>
      <w:pPr>
        <w:pStyle w:val="ListBullet"/>
        <w:spacing w:after="60"/>
        <w:ind w:left="288"/>
      </w:pPr>
      <w:r>
        <w:t>Structured obligations for landlord, tenant, insurance, utilities, inspections and maintenance.</w:t>
      </w:r>
    </w:p>
    <w:p>
      <w:pPr>
        <w:pStyle w:val="ListBullet"/>
        <w:spacing w:after="60"/>
        <w:ind w:left="288"/>
      </w:pPr>
      <w:r>
        <w:t>Notices with issue date, delivery method, response deadline, acknowledgement and status.</w:t>
      </w:r>
    </w:p>
    <w:p>
      <w:pPr>
        <w:pStyle w:val="ListBullet"/>
        <w:spacing w:after="60"/>
        <w:ind w:left="288"/>
      </w:pPr>
      <w:r>
        <w:t>Renewal that creates a linked successor lease without destroying the original.</w:t>
      </w:r>
    </w:p>
    <w:p>
      <w:pPr>
        <w:pStyle w:val="ListBullet"/>
        <w:spacing w:after="60"/>
        <w:ind w:left="288"/>
      </w:pPr>
      <w:r>
        <w:t>Termination workflow requiring effective date, reason, authorizer and supporting document.</w:t>
      </w:r>
    </w:p>
    <w:p>
      <w:pPr>
        <w:pStyle w:val="ListBullet"/>
        <w:spacing w:after="60"/>
        <w:ind w:left="288"/>
      </w:pPr>
      <w:r>
        <w:t>Lease documents: draft, executed agreement, inspection, inventory, photographs, letters, renewal and termination records.</w:t>
      </w:r>
    </w:p>
    <w:p>
      <w:pPr>
        <w:pStyle w:val="ListBullet"/>
        <w:spacing w:after="60"/>
        <w:ind w:left="288"/>
      </w:pPr>
      <w:r>
        <w:t>Timeline of material events and links to invoices, receipts and rent schedules.</w:t>
      </w:r>
    </w:p>
    <w:p>
      <w:pPr>
        <w:pStyle w:val="Heading2"/>
      </w:pPr>
      <w:r>
        <w:t>Lease service boundary</w:t>
      </w:r>
    </w:p>
    <w:tbl>
      <w:tblPr>
        <w:tblStyle w:val="TableGrid"/>
        <w:tblW w:type="auto" w:w="0"/>
        <w:jc w:val="center"/>
        <w:tblLook w:firstColumn="1" w:firstRow="1" w:lastColumn="0" w:lastRow="0" w:noHBand="0" w:noVBand="1" w:val="04A0"/>
      </w:tblPr>
      <w:tblGrid>
        <w:gridCol w:w="5083"/>
        <w:gridCol w:w="5083"/>
      </w:tblGrid>
      <w:tr>
        <w:tc>
          <w:tcPr>
            <w:tcW w:type="dxa" w:w="2592"/>
            <w:shd w:fill="151515"/>
            <w:vAlign w:val="center"/>
          </w:tcPr>
          <w:p>
            <w:r/>
            <w:r>
              <w:rPr>
                <w:rFonts w:ascii="Aptos" w:hAnsi="Aptos"/>
                <w:b/>
                <w:color w:val="FFFFFF"/>
                <w:sz w:val="18"/>
              </w:rPr>
              <w:t>Service</w:t>
            </w:r>
          </w:p>
        </w:tc>
        <w:tc>
          <w:tcPr>
            <w:tcW w:type="dxa" w:w="7488"/>
            <w:shd w:fill="151515"/>
            <w:vAlign w:val="center"/>
          </w:tcPr>
          <w:p>
            <w:r/>
            <w:r>
              <w:rPr>
                <w:rFonts w:ascii="Aptos" w:hAnsi="Aptos"/>
                <w:b/>
                <w:color w:val="FFFFFF"/>
                <w:sz w:val="18"/>
              </w:rPr>
              <w:t>Outcome</w:t>
            </w:r>
          </w:p>
        </w:tc>
      </w:tr>
      <w:tr>
        <w:tc>
          <w:tcPr>
            <w:tcW w:type="dxa" w:w="2592"/>
            <w:shd w:fill="F7F7F5"/>
            <w:vAlign w:val="center"/>
          </w:tcPr>
          <w:p>
            <w:r/>
            <w:r>
              <w:rPr>
                <w:rFonts w:ascii="Aptos" w:hAnsi="Aptos"/>
                <w:b w:val="0"/>
                <w:color w:val="151515"/>
                <w:sz w:val="17"/>
              </w:rPr>
              <w:t>createLease()</w:t>
            </w:r>
          </w:p>
        </w:tc>
        <w:tc>
          <w:tcPr>
            <w:tcW w:type="dxa" w:w="7488"/>
            <w:shd w:fill="F7F7F5"/>
            <w:vAlign w:val="center"/>
          </w:tcPr>
          <w:p>
            <w:r/>
            <w:r>
              <w:rPr>
                <w:rFonts w:ascii="Aptos" w:hAnsi="Aptos"/>
                <w:b w:val="0"/>
                <w:color w:val="151515"/>
                <w:sz w:val="17"/>
              </w:rPr>
              <w:t>Creates a scoped draft agreement.</w:t>
            </w:r>
          </w:p>
        </w:tc>
      </w:tr>
      <w:tr>
        <w:tc>
          <w:tcPr>
            <w:tcW w:type="dxa" w:w="2592"/>
            <w:vAlign w:val="center"/>
          </w:tcPr>
          <w:p>
            <w:r/>
            <w:r>
              <w:rPr>
                <w:rFonts w:ascii="Aptos" w:hAnsi="Aptos"/>
                <w:b w:val="0"/>
                <w:color w:val="151515"/>
                <w:sz w:val="17"/>
              </w:rPr>
              <w:t>submitForApproval()</w:t>
            </w:r>
          </w:p>
        </w:tc>
        <w:tc>
          <w:tcPr>
            <w:tcW w:type="dxa" w:w="7488"/>
            <w:vAlign w:val="center"/>
          </w:tcPr>
          <w:p>
            <w:r/>
            <w:r>
              <w:rPr>
                <w:rFonts w:ascii="Aptos" w:hAnsi="Aptos"/>
                <w:b w:val="0"/>
                <w:color w:val="151515"/>
                <w:sz w:val="17"/>
              </w:rPr>
              <w:t>Moves an eligible draft into approval workflow.</w:t>
            </w:r>
          </w:p>
        </w:tc>
      </w:tr>
      <w:tr>
        <w:tc>
          <w:tcPr>
            <w:tcW w:type="dxa" w:w="2592"/>
            <w:shd w:fill="F7F7F5"/>
            <w:vAlign w:val="center"/>
          </w:tcPr>
          <w:p>
            <w:r/>
            <w:r>
              <w:rPr>
                <w:rFonts w:ascii="Aptos" w:hAnsi="Aptos"/>
                <w:b w:val="0"/>
                <w:color w:val="151515"/>
                <w:sz w:val="17"/>
              </w:rPr>
              <w:t>approveLease()</w:t>
            </w:r>
          </w:p>
        </w:tc>
        <w:tc>
          <w:tcPr>
            <w:tcW w:type="dxa" w:w="7488"/>
            <w:shd w:fill="F7F7F5"/>
            <w:vAlign w:val="center"/>
          </w:tcPr>
          <w:p>
            <w:r/>
            <w:r>
              <w:rPr>
                <w:rFonts w:ascii="Aptos" w:hAnsi="Aptos"/>
                <w:b w:val="0"/>
                <w:color w:val="151515"/>
                <w:sz w:val="17"/>
              </w:rPr>
              <w:t>Records approval and approver identity.</w:t>
            </w:r>
          </w:p>
        </w:tc>
      </w:tr>
      <w:tr>
        <w:tc>
          <w:tcPr>
            <w:tcW w:type="dxa" w:w="2592"/>
            <w:vAlign w:val="center"/>
          </w:tcPr>
          <w:p>
            <w:r/>
            <w:r>
              <w:rPr>
                <w:rFonts w:ascii="Aptos" w:hAnsi="Aptos"/>
                <w:b w:val="0"/>
                <w:color w:val="151515"/>
                <w:sz w:val="17"/>
              </w:rPr>
              <w:t>activateLease()</w:t>
            </w:r>
          </w:p>
        </w:tc>
        <w:tc>
          <w:tcPr>
            <w:tcW w:type="dxa" w:w="7488"/>
            <w:vAlign w:val="center"/>
          </w:tcPr>
          <w:p>
            <w:r/>
            <w:r>
              <w:rPr>
                <w:rFonts w:ascii="Aptos" w:hAnsi="Aptos"/>
                <w:b w:val="0"/>
                <w:color w:val="151515"/>
                <w:sz w:val="17"/>
              </w:rPr>
              <w:t>Activates the agreement and triggers rent schedule generation.</w:t>
            </w:r>
          </w:p>
        </w:tc>
      </w:tr>
      <w:tr>
        <w:tc>
          <w:tcPr>
            <w:tcW w:type="dxa" w:w="2592"/>
            <w:shd w:fill="F7F7F5"/>
            <w:vAlign w:val="center"/>
          </w:tcPr>
          <w:p>
            <w:r/>
            <w:r>
              <w:rPr>
                <w:rFonts w:ascii="Aptos" w:hAnsi="Aptos"/>
                <w:b w:val="0"/>
                <w:color w:val="151515"/>
                <w:sz w:val="17"/>
              </w:rPr>
              <w:t>generateAgreement()</w:t>
            </w:r>
          </w:p>
        </w:tc>
        <w:tc>
          <w:tcPr>
            <w:tcW w:type="dxa" w:w="7488"/>
            <w:shd w:fill="F7F7F5"/>
            <w:vAlign w:val="center"/>
          </w:tcPr>
          <w:p>
            <w:r/>
            <w:r>
              <w:rPr>
                <w:rFonts w:ascii="Aptos" w:hAnsi="Aptos"/>
                <w:b w:val="0"/>
                <w:color w:val="151515"/>
                <w:sz w:val="17"/>
              </w:rPr>
              <w:t>Creates a versioned, entity-branded agreement document.</w:t>
            </w:r>
          </w:p>
        </w:tc>
      </w:tr>
      <w:tr>
        <w:tc>
          <w:tcPr>
            <w:tcW w:type="dxa" w:w="2592"/>
            <w:vAlign w:val="center"/>
          </w:tcPr>
          <w:p>
            <w:r/>
            <w:r>
              <w:rPr>
                <w:rFonts w:ascii="Aptos" w:hAnsi="Aptos"/>
                <w:b w:val="0"/>
                <w:color w:val="151515"/>
                <w:sz w:val="17"/>
              </w:rPr>
              <w:t>renewLease()</w:t>
            </w:r>
          </w:p>
        </w:tc>
        <w:tc>
          <w:tcPr>
            <w:tcW w:type="dxa" w:w="7488"/>
            <w:vAlign w:val="center"/>
          </w:tcPr>
          <w:p>
            <w:r/>
            <w:r>
              <w:rPr>
                <w:rFonts w:ascii="Aptos" w:hAnsi="Aptos"/>
                <w:b w:val="0"/>
                <w:color w:val="151515"/>
                <w:sz w:val="17"/>
              </w:rPr>
              <w:t>Creates and links a successor agreement.</w:t>
            </w:r>
          </w:p>
        </w:tc>
      </w:tr>
      <w:tr>
        <w:tc>
          <w:tcPr>
            <w:tcW w:type="dxa" w:w="2592"/>
            <w:shd w:fill="F7F7F5"/>
            <w:vAlign w:val="center"/>
          </w:tcPr>
          <w:p>
            <w:r/>
            <w:r>
              <w:rPr>
                <w:rFonts w:ascii="Aptos" w:hAnsi="Aptos"/>
                <w:b w:val="0"/>
                <w:color w:val="151515"/>
                <w:sz w:val="17"/>
              </w:rPr>
              <w:t>terminateLease()</w:t>
            </w:r>
          </w:p>
        </w:tc>
        <w:tc>
          <w:tcPr>
            <w:tcW w:type="dxa" w:w="7488"/>
            <w:shd w:fill="F7F7F5"/>
            <w:vAlign w:val="center"/>
          </w:tcPr>
          <w:p>
            <w:r/>
            <w:r>
              <w:rPr>
                <w:rFonts w:ascii="Aptos" w:hAnsi="Aptos"/>
                <w:b w:val="0"/>
                <w:color w:val="151515"/>
                <w:sz w:val="17"/>
              </w:rPr>
              <w:t>Closes the agreement through a controlled workflow.</w:t>
            </w:r>
          </w:p>
        </w:tc>
      </w:tr>
      <w:tr>
        <w:tc>
          <w:tcPr>
            <w:tcW w:type="dxa" w:w="2592"/>
            <w:vAlign w:val="center"/>
          </w:tcPr>
          <w:p>
            <w:r/>
            <w:r>
              <w:rPr>
                <w:rFonts w:ascii="Aptos" w:hAnsi="Aptos"/>
                <w:b w:val="0"/>
                <w:color w:val="151515"/>
                <w:sz w:val="17"/>
              </w:rPr>
              <w:t>archiveLease()</w:t>
            </w:r>
          </w:p>
        </w:tc>
        <w:tc>
          <w:tcPr>
            <w:tcW w:type="dxa" w:w="7488"/>
            <w:vAlign w:val="center"/>
          </w:tcPr>
          <w:p>
            <w:r/>
            <w:r>
              <w:rPr>
                <w:rFonts w:ascii="Aptos" w:hAnsi="Aptos"/>
                <w:b w:val="0"/>
                <w:color w:val="151515"/>
                <w:sz w:val="17"/>
              </w:rPr>
              <w:t>Archives a closed agreement without deleting history.</w:t>
            </w:r>
          </w:p>
        </w:tc>
      </w:tr>
      <w:tr>
        <w:tc>
          <w:tcPr>
            <w:tcW w:type="dxa" w:w="2592"/>
            <w:shd w:fill="F7F7F5"/>
            <w:vAlign w:val="center"/>
          </w:tcPr>
          <w:p>
            <w:r/>
            <w:r>
              <w:rPr>
                <w:rFonts w:ascii="Aptos" w:hAnsi="Aptos"/>
                <w:b w:val="0"/>
                <w:color w:val="151515"/>
                <w:sz w:val="17"/>
              </w:rPr>
              <w:t>getLeaseStatus()</w:t>
            </w:r>
          </w:p>
        </w:tc>
        <w:tc>
          <w:tcPr>
            <w:tcW w:type="dxa" w:w="7488"/>
            <w:shd w:fill="F7F7F5"/>
            <w:vAlign w:val="center"/>
          </w:tcPr>
          <w:p>
            <w:r/>
            <w:r>
              <w:rPr>
                <w:rFonts w:ascii="Aptos" w:hAnsi="Aptos"/>
                <w:b w:val="0"/>
                <w:color w:val="151515"/>
                <w:sz w:val="17"/>
              </w:rPr>
              <w:t>Returns current and computed lifecycle status.</w:t>
            </w:r>
          </w:p>
        </w:tc>
      </w:tr>
    </w:tbl>
    <w:p>
      <w:pPr>
        <w:spacing w:after="0"/>
      </w:pPr>
    </w:p>
    <w:p>
      <w:pPr>
        <w:pStyle w:val="Heading1"/>
      </w:pPr>
      <w:r>
        <w:t>9. Rent and Receivables Engine</w:t>
      </w:r>
    </w:p>
    <w:p>
      <w:pPr>
        <w:pStyle w:val="ListBullet"/>
        <w:spacing w:after="60"/>
        <w:ind w:left="288"/>
      </w:pPr>
      <w:r>
        <w:t>A lease activation produces a rent schedule once, idempotently.</w:t>
      </w:r>
    </w:p>
    <w:p>
      <w:pPr>
        <w:pStyle w:val="ListBullet"/>
        <w:spacing w:after="60"/>
        <w:ind w:left="288"/>
      </w:pPr>
      <w:r>
        <w:t>Receivables distinguish amount due, amount paid, balance, due date and aging bucket.</w:t>
      </w:r>
    </w:p>
    <w:p>
      <w:pPr>
        <w:pStyle w:val="ListBullet"/>
        <w:spacing w:after="60"/>
        <w:ind w:left="288"/>
      </w:pPr>
      <w:r>
        <w:t>Every payment produces a receipt, transaction record, audit event and updated balance.</w:t>
      </w:r>
    </w:p>
    <w:p>
      <w:pPr>
        <w:pStyle w:val="ListBullet"/>
        <w:spacing w:after="60"/>
        <w:ind w:left="288"/>
      </w:pPr>
      <w:r>
        <w:t>Partial payments and overpayments are preserved rather than flattened.</w:t>
      </w:r>
    </w:p>
    <w:p>
      <w:pPr>
        <w:pStyle w:val="ListBullet"/>
        <w:spacing w:after="60"/>
        <w:ind w:left="288"/>
      </w:pPr>
      <w:r>
        <w:t>Statements aggregate opening balance, charges, payments, adjustments and closing balance.</w:t>
      </w:r>
    </w:p>
    <w:p>
      <w:pPr>
        <w:pStyle w:val="ListBullet"/>
        <w:spacing w:after="60"/>
        <w:ind w:left="288"/>
      </w:pPr>
      <w:r>
        <w:t>Reconciliation links recorded payments to cash, bank, EcoCash, ZIPIT, transfer, POS or online evidence.</w:t>
      </w:r>
    </w:p>
    <w:tbl>
      <w:tblPr>
        <w:tblStyle w:val="TableGrid"/>
        <w:tblW w:type="auto" w:w="0"/>
        <w:jc w:val="center"/>
        <w:tblLook w:firstColumn="1" w:firstRow="1" w:lastColumn="0" w:lastRow="0" w:noHBand="0" w:noVBand="1" w:val="04A0"/>
      </w:tblPr>
      <w:tblGrid>
        <w:gridCol w:w="5083"/>
        <w:gridCol w:w="5083"/>
      </w:tblGrid>
      <w:tr>
        <w:tc>
          <w:tcPr>
            <w:tcW w:type="dxa" w:w="2448"/>
            <w:shd w:fill="151515"/>
            <w:vAlign w:val="center"/>
          </w:tcPr>
          <w:p>
            <w:r/>
            <w:r>
              <w:rPr>
                <w:rFonts w:ascii="Aptos" w:hAnsi="Aptos"/>
                <w:b/>
                <w:color w:val="FFFFFF"/>
                <w:sz w:val="18"/>
              </w:rPr>
              <w:t>Aging bucket</w:t>
            </w:r>
          </w:p>
        </w:tc>
        <w:tc>
          <w:tcPr>
            <w:tcW w:type="dxa" w:w="7632"/>
            <w:shd w:fill="151515"/>
            <w:vAlign w:val="center"/>
          </w:tcPr>
          <w:p>
            <w:r/>
            <w:r>
              <w:rPr>
                <w:rFonts w:ascii="Aptos" w:hAnsi="Aptos"/>
                <w:b/>
                <w:color w:val="FFFFFF"/>
                <w:sz w:val="18"/>
              </w:rPr>
              <w:t>Definition</w:t>
            </w:r>
          </w:p>
        </w:tc>
      </w:tr>
      <w:tr>
        <w:tc>
          <w:tcPr>
            <w:tcW w:type="dxa" w:w="2448"/>
            <w:shd w:fill="F7F7F5"/>
            <w:vAlign w:val="center"/>
          </w:tcPr>
          <w:p>
            <w:r/>
            <w:r>
              <w:rPr>
                <w:rFonts w:ascii="Aptos" w:hAnsi="Aptos"/>
                <w:b w:val="0"/>
                <w:color w:val="151515"/>
                <w:sz w:val="17"/>
              </w:rPr>
              <w:t>Current</w:t>
            </w:r>
          </w:p>
        </w:tc>
        <w:tc>
          <w:tcPr>
            <w:tcW w:type="dxa" w:w="7632"/>
            <w:shd w:fill="F7F7F5"/>
            <w:vAlign w:val="center"/>
          </w:tcPr>
          <w:p>
            <w:r/>
            <w:r>
              <w:rPr>
                <w:rFonts w:ascii="Aptos" w:hAnsi="Aptos"/>
                <w:b w:val="0"/>
                <w:color w:val="151515"/>
                <w:sz w:val="17"/>
              </w:rPr>
              <w:t>Not yet overdue.</w:t>
            </w:r>
          </w:p>
        </w:tc>
      </w:tr>
      <w:tr>
        <w:tc>
          <w:tcPr>
            <w:tcW w:type="dxa" w:w="2448"/>
            <w:vAlign w:val="center"/>
          </w:tcPr>
          <w:p>
            <w:r/>
            <w:r>
              <w:rPr>
                <w:rFonts w:ascii="Aptos" w:hAnsi="Aptos"/>
                <w:b w:val="0"/>
                <w:color w:val="151515"/>
                <w:sz w:val="17"/>
              </w:rPr>
              <w:t>1–30 days</w:t>
            </w:r>
          </w:p>
        </w:tc>
        <w:tc>
          <w:tcPr>
            <w:tcW w:type="dxa" w:w="7632"/>
            <w:vAlign w:val="center"/>
          </w:tcPr>
          <w:p>
            <w:r/>
            <w:r>
              <w:rPr>
                <w:rFonts w:ascii="Aptos" w:hAnsi="Aptos"/>
                <w:b w:val="0"/>
                <w:color w:val="151515"/>
                <w:sz w:val="17"/>
              </w:rPr>
              <w:t>Overdue up to 30 days.</w:t>
            </w:r>
          </w:p>
        </w:tc>
      </w:tr>
      <w:tr>
        <w:tc>
          <w:tcPr>
            <w:tcW w:type="dxa" w:w="2448"/>
            <w:shd w:fill="F7F7F5"/>
            <w:vAlign w:val="center"/>
          </w:tcPr>
          <w:p>
            <w:r/>
            <w:r>
              <w:rPr>
                <w:rFonts w:ascii="Aptos" w:hAnsi="Aptos"/>
                <w:b w:val="0"/>
                <w:color w:val="151515"/>
                <w:sz w:val="17"/>
              </w:rPr>
              <w:t>31–60 days</w:t>
            </w:r>
          </w:p>
        </w:tc>
        <w:tc>
          <w:tcPr>
            <w:tcW w:type="dxa" w:w="7632"/>
            <w:shd w:fill="F7F7F5"/>
            <w:vAlign w:val="center"/>
          </w:tcPr>
          <w:p>
            <w:r/>
            <w:r>
              <w:rPr>
                <w:rFonts w:ascii="Aptos" w:hAnsi="Aptos"/>
                <w:b w:val="0"/>
                <w:color w:val="151515"/>
                <w:sz w:val="17"/>
              </w:rPr>
              <w:t>Overdue 31 to 60 days.</w:t>
            </w:r>
          </w:p>
        </w:tc>
      </w:tr>
      <w:tr>
        <w:tc>
          <w:tcPr>
            <w:tcW w:type="dxa" w:w="2448"/>
            <w:vAlign w:val="center"/>
          </w:tcPr>
          <w:p>
            <w:r/>
            <w:r>
              <w:rPr>
                <w:rFonts w:ascii="Aptos" w:hAnsi="Aptos"/>
                <w:b w:val="0"/>
                <w:color w:val="151515"/>
                <w:sz w:val="17"/>
              </w:rPr>
              <w:t>61–90 days</w:t>
            </w:r>
          </w:p>
        </w:tc>
        <w:tc>
          <w:tcPr>
            <w:tcW w:type="dxa" w:w="7632"/>
            <w:vAlign w:val="center"/>
          </w:tcPr>
          <w:p>
            <w:r/>
            <w:r>
              <w:rPr>
                <w:rFonts w:ascii="Aptos" w:hAnsi="Aptos"/>
                <w:b w:val="0"/>
                <w:color w:val="151515"/>
                <w:sz w:val="17"/>
              </w:rPr>
              <w:t>Overdue 61 to 90 days.</w:t>
            </w:r>
          </w:p>
        </w:tc>
      </w:tr>
      <w:tr>
        <w:tc>
          <w:tcPr>
            <w:tcW w:type="dxa" w:w="2448"/>
            <w:shd w:fill="F7F7F5"/>
            <w:vAlign w:val="center"/>
          </w:tcPr>
          <w:p>
            <w:r/>
            <w:r>
              <w:rPr>
                <w:rFonts w:ascii="Aptos" w:hAnsi="Aptos"/>
                <w:b w:val="0"/>
                <w:color w:val="151515"/>
                <w:sz w:val="17"/>
              </w:rPr>
              <w:t>90+ days</w:t>
            </w:r>
          </w:p>
        </w:tc>
        <w:tc>
          <w:tcPr>
            <w:tcW w:type="dxa" w:w="7632"/>
            <w:shd w:fill="F7F7F5"/>
            <w:vAlign w:val="center"/>
          </w:tcPr>
          <w:p>
            <w:r/>
            <w:r>
              <w:rPr>
                <w:rFonts w:ascii="Aptos" w:hAnsi="Aptos"/>
                <w:b w:val="0"/>
                <w:color w:val="151515"/>
                <w:sz w:val="17"/>
              </w:rPr>
              <w:t>Overdue more than 90 days.</w:t>
            </w:r>
          </w:p>
        </w:tc>
      </w:tr>
    </w:tbl>
    <w:p>
      <w:pPr>
        <w:spacing w:after="0"/>
      </w:pPr>
    </w:p>
    <w:p>
      <w:pPr>
        <w:pStyle w:val="Heading1"/>
      </w:pPr>
      <w:r>
        <w:t>10. Entity Engine</w:t>
      </w:r>
    </w:p>
    <w:p>
      <w:r>
        <w:t>The Entity Engine is the legal and commercial foundation of OMS. Properties, leases, invoices, receipts and reports inherit the correct entity identity.</w:t>
      </w:r>
    </w:p>
    <w:p>
      <w:pPr>
        <w:pStyle w:val="ListBullet"/>
        <w:spacing w:after="60"/>
        <w:ind w:left="288"/>
      </w:pPr>
      <w:r>
        <w:t>Legal name, trading name, registration number, tax/VAT number and addresses.</w:t>
      </w:r>
    </w:p>
    <w:p>
      <w:pPr>
        <w:pStyle w:val="ListBullet"/>
        <w:spacing w:after="60"/>
        <w:ind w:left="288"/>
      </w:pPr>
      <w:r>
        <w:t>Logo, brand colors, letterhead and contact details.</w:t>
      </w:r>
    </w:p>
    <w:p>
      <w:pPr>
        <w:pStyle w:val="ListBullet"/>
        <w:spacing w:after="60"/>
        <w:ind w:left="288"/>
      </w:pPr>
      <w:r>
        <w:t>Bank accounts and accepted payment instructions.</w:t>
      </w:r>
    </w:p>
    <w:p>
      <w:pPr>
        <w:pStyle w:val="ListBullet"/>
        <w:spacing w:after="60"/>
        <w:ind w:left="288"/>
      </w:pPr>
      <w:r>
        <w:t>Invoice, receipt and lease numbering rules.</w:t>
      </w:r>
    </w:p>
    <w:p>
      <w:pPr>
        <w:pStyle w:val="ListBullet"/>
        <w:spacing w:after="60"/>
        <w:ind w:left="288"/>
      </w:pPr>
      <w:r>
        <w:t>Directors, authorized signatories and public officer records.</w:t>
      </w:r>
    </w:p>
    <w:p>
      <w:pPr>
        <w:pStyle w:val="ListBullet"/>
        <w:spacing w:after="60"/>
        <w:ind w:left="288"/>
      </w:pPr>
      <w:r>
        <w:t>Entity documents, expiry dates and compliance status.</w:t>
      </w:r>
    </w:p>
    <w:p>
      <w:pPr>
        <w:pStyle w:val="ListBullet"/>
        <w:spacing w:after="60"/>
        <w:ind w:left="288"/>
      </w:pPr>
      <w:r>
        <w:t>Assigned properties, projects, staff and reporting scope.</w:t>
      </w:r>
    </w:p>
    <w:p>
      <w:pPr>
        <w:pStyle w:val="Heading1"/>
      </w:pPr>
      <w:r>
        <w:t>11. Finance and Invoicing</w:t>
      </w:r>
    </w:p>
    <w:p>
      <w:pPr>
        <w:pStyle w:val="ListBullet"/>
        <w:spacing w:after="60"/>
        <w:ind w:left="288"/>
      </w:pPr>
      <w:r>
        <w:t>Invoices inherit entity branding, tax rules, numbering and bank details.</w:t>
      </w:r>
    </w:p>
    <w:p>
      <w:pPr>
        <w:pStyle w:val="ListBullet"/>
        <w:spacing w:after="60"/>
        <w:ind w:left="288"/>
      </w:pPr>
      <w:r>
        <w:t>Lease charges and rent schedules may create invoices without duplicating agreement terms.</w:t>
      </w:r>
    </w:p>
    <w:p>
      <w:pPr>
        <w:pStyle w:val="ListBullet"/>
        <w:spacing w:after="60"/>
        <w:ind w:left="288"/>
      </w:pPr>
      <w:r>
        <w:t>Payments allocate to invoices or receivables and preserve unapplied balances.</w:t>
      </w:r>
    </w:p>
    <w:p>
      <w:pPr>
        <w:pStyle w:val="ListBullet"/>
        <w:spacing w:after="60"/>
        <w:ind w:left="288"/>
      </w:pPr>
      <w:r>
        <w:t>General ledger integration receives controlled postings from operational engines.</w:t>
      </w:r>
    </w:p>
    <w:p>
      <w:pPr>
        <w:pStyle w:val="ListBullet"/>
        <w:spacing w:after="60"/>
        <w:ind w:left="288"/>
      </w:pPr>
      <w:r>
        <w:t>Reports support entity, property, tenant, lease, project and consolidated owner views.</w:t>
      </w:r>
    </w:p>
    <w:p>
      <w:pPr>
        <w:pStyle w:val="Heading1"/>
      </w:pPr>
      <w:r>
        <w:t>12. Documents, Audit and AI</w:t>
      </w:r>
    </w:p>
    <w:tbl>
      <w:tblPr>
        <w:tblStyle w:val="TableGrid"/>
        <w:tblW w:type="auto" w:w="0"/>
        <w:jc w:val="center"/>
        <w:tblLook w:firstColumn="1" w:firstRow="1" w:lastColumn="0" w:lastRow="0" w:noHBand="0" w:noVBand="1" w:val="04A0"/>
      </w:tblPr>
      <w:tblGrid>
        <w:gridCol w:w="5083"/>
        <w:gridCol w:w="5083"/>
      </w:tblGrid>
      <w:tr>
        <w:tc>
          <w:tcPr>
            <w:tcW w:type="dxa" w:w="2448"/>
            <w:shd w:fill="151515"/>
            <w:vAlign w:val="center"/>
          </w:tcPr>
          <w:p>
            <w:r/>
            <w:r>
              <w:rPr>
                <w:rFonts w:ascii="Aptos" w:hAnsi="Aptos"/>
                <w:b/>
                <w:color w:val="FFFFFF"/>
                <w:sz w:val="18"/>
              </w:rPr>
              <w:t>Capability</w:t>
            </w:r>
          </w:p>
        </w:tc>
        <w:tc>
          <w:tcPr>
            <w:tcW w:type="dxa" w:w="7632"/>
            <w:shd w:fill="151515"/>
            <w:vAlign w:val="center"/>
          </w:tcPr>
          <w:p>
            <w:r/>
            <w:r>
              <w:rPr>
                <w:rFonts w:ascii="Aptos" w:hAnsi="Aptos"/>
                <w:b/>
                <w:color w:val="FFFFFF"/>
                <w:sz w:val="18"/>
              </w:rPr>
              <w:t>Standard</w:t>
            </w:r>
          </w:p>
        </w:tc>
      </w:tr>
      <w:tr>
        <w:tc>
          <w:tcPr>
            <w:tcW w:type="dxa" w:w="2448"/>
            <w:shd w:fill="F7F7F5"/>
            <w:vAlign w:val="center"/>
          </w:tcPr>
          <w:p>
            <w:r/>
            <w:r>
              <w:rPr>
                <w:rFonts w:ascii="Aptos" w:hAnsi="Aptos"/>
                <w:b w:val="0"/>
                <w:color w:val="151515"/>
                <w:sz w:val="17"/>
              </w:rPr>
              <w:t>Documents</w:t>
            </w:r>
          </w:p>
        </w:tc>
        <w:tc>
          <w:tcPr>
            <w:tcW w:type="dxa" w:w="7632"/>
            <w:shd w:fill="F7F7F5"/>
            <w:vAlign w:val="center"/>
          </w:tcPr>
          <w:p>
            <w:r/>
            <w:r>
              <w:rPr>
                <w:rFonts w:ascii="Aptos" w:hAnsi="Aptos"/>
                <w:b w:val="0"/>
                <w:color w:val="151515"/>
                <w:sz w:val="17"/>
              </w:rPr>
              <w:t>Versioned, categorized, entity-scoped and linked to one or more records.</w:t>
            </w:r>
          </w:p>
        </w:tc>
      </w:tr>
      <w:tr>
        <w:tc>
          <w:tcPr>
            <w:tcW w:type="dxa" w:w="2448"/>
            <w:vAlign w:val="center"/>
          </w:tcPr>
          <w:p>
            <w:r/>
            <w:r>
              <w:rPr>
                <w:rFonts w:ascii="Aptos" w:hAnsi="Aptos"/>
                <w:b w:val="0"/>
                <w:color w:val="151515"/>
                <w:sz w:val="17"/>
              </w:rPr>
              <w:t>Audit</w:t>
            </w:r>
          </w:p>
        </w:tc>
        <w:tc>
          <w:tcPr>
            <w:tcW w:type="dxa" w:w="7632"/>
            <w:vAlign w:val="center"/>
          </w:tcPr>
          <w:p>
            <w:r/>
            <w:r>
              <w:rPr>
                <w:rFonts w:ascii="Aptos" w:hAnsi="Aptos"/>
                <w:b w:val="0"/>
                <w:color w:val="151515"/>
                <w:sz w:val="17"/>
              </w:rPr>
              <w:t>Actor, action, record, prior state, new state, date, source and reason.</w:t>
            </w:r>
          </w:p>
        </w:tc>
      </w:tr>
      <w:tr>
        <w:tc>
          <w:tcPr>
            <w:tcW w:type="dxa" w:w="2448"/>
            <w:shd w:fill="F7F7F5"/>
            <w:vAlign w:val="center"/>
          </w:tcPr>
          <w:p>
            <w:r/>
            <w:r>
              <w:rPr>
                <w:rFonts w:ascii="Aptos" w:hAnsi="Aptos"/>
                <w:b w:val="0"/>
                <w:color w:val="151515"/>
                <w:sz w:val="17"/>
              </w:rPr>
              <w:t>Notifications</w:t>
            </w:r>
          </w:p>
        </w:tc>
        <w:tc>
          <w:tcPr>
            <w:tcW w:type="dxa" w:w="7632"/>
            <w:shd w:fill="F7F7F5"/>
            <w:vAlign w:val="center"/>
          </w:tcPr>
          <w:p>
            <w:r/>
            <w:r>
              <w:rPr>
                <w:rFonts w:ascii="Aptos" w:hAnsi="Aptos"/>
                <w:b w:val="0"/>
                <w:color w:val="151515"/>
                <w:sz w:val="17"/>
              </w:rPr>
              <w:t>Event-driven, role-aware and deduplicated.</w:t>
            </w:r>
          </w:p>
        </w:tc>
      </w:tr>
      <w:tr>
        <w:tc>
          <w:tcPr>
            <w:tcW w:type="dxa" w:w="2448"/>
            <w:vAlign w:val="center"/>
          </w:tcPr>
          <w:p>
            <w:r/>
            <w:r>
              <w:rPr>
                <w:rFonts w:ascii="Aptos" w:hAnsi="Aptos"/>
                <w:b w:val="0"/>
                <w:color w:val="151515"/>
                <w:sz w:val="17"/>
              </w:rPr>
              <w:t>AI answers</w:t>
            </w:r>
          </w:p>
        </w:tc>
        <w:tc>
          <w:tcPr>
            <w:tcW w:type="dxa" w:w="7632"/>
            <w:vAlign w:val="center"/>
          </w:tcPr>
          <w:p>
            <w:r/>
            <w:r>
              <w:rPr>
                <w:rFonts w:ascii="Aptos" w:hAnsi="Aptos"/>
                <w:b w:val="0"/>
                <w:color w:val="151515"/>
                <w:sz w:val="17"/>
              </w:rPr>
              <w:t>Permission-aware, source-grounded and explicit about uncertainty.</w:t>
            </w:r>
          </w:p>
        </w:tc>
      </w:tr>
      <w:tr>
        <w:tc>
          <w:tcPr>
            <w:tcW w:type="dxa" w:w="2448"/>
            <w:shd w:fill="F7F7F5"/>
            <w:vAlign w:val="center"/>
          </w:tcPr>
          <w:p>
            <w:r/>
            <w:r>
              <w:rPr>
                <w:rFonts w:ascii="Aptos" w:hAnsi="Aptos"/>
                <w:b w:val="0"/>
                <w:color w:val="151515"/>
                <w:sz w:val="17"/>
              </w:rPr>
              <w:t>AI actions</w:t>
            </w:r>
          </w:p>
        </w:tc>
        <w:tc>
          <w:tcPr>
            <w:tcW w:type="dxa" w:w="7632"/>
            <w:shd w:fill="F7F7F5"/>
            <w:vAlign w:val="center"/>
          </w:tcPr>
          <w:p>
            <w:r/>
            <w:r>
              <w:rPr>
                <w:rFonts w:ascii="Aptos" w:hAnsi="Aptos"/>
                <w:b w:val="0"/>
                <w:color w:val="151515"/>
                <w:sz w:val="17"/>
              </w:rPr>
              <w:t>Require confirmation for material changes and produce audit events.</w:t>
            </w:r>
          </w:p>
        </w:tc>
      </w:tr>
    </w:tbl>
    <w:p>
      <w:pPr>
        <w:spacing w:after="0"/>
      </w:pPr>
    </w:p>
    <w:p>
      <w:pPr>
        <w:pStyle w:val="Heading1"/>
      </w:pPr>
      <w:r>
        <w:t>13. Engineering Standards</w:t>
      </w:r>
    </w:p>
    <w:p>
      <w:pPr>
        <w:pStyle w:val="ListBullet"/>
        <w:spacing w:after="60"/>
        <w:ind w:left="288"/>
      </w:pPr>
      <w:r>
        <w:t>Use prepared statements for all user-influenced database queries.</w:t>
      </w:r>
    </w:p>
    <w:p>
      <w:pPr>
        <w:pStyle w:val="ListBullet"/>
        <w:spacing w:after="60"/>
        <w:ind w:left="288"/>
      </w:pPr>
      <w:r>
        <w:t>Every transactional table includes organization_id; entity-owned records also include entity_id.</w:t>
      </w:r>
    </w:p>
    <w:p>
      <w:pPr>
        <w:pStyle w:val="ListBullet"/>
        <w:spacing w:after="60"/>
        <w:ind w:left="288"/>
      </w:pPr>
      <w:r>
        <w:t>Avoid hard deletes for financial, contractual or auditable business records.</w:t>
      </w:r>
    </w:p>
    <w:p>
      <w:pPr>
        <w:pStyle w:val="ListBullet"/>
        <w:spacing w:after="60"/>
        <w:ind w:left="288"/>
      </w:pPr>
      <w:r>
        <w:t>Use database transactions for multi-record workflows such as activation and schedule generation.</w:t>
      </w:r>
    </w:p>
    <w:p>
      <w:pPr>
        <w:pStyle w:val="ListBullet"/>
        <w:spacing w:after="60"/>
        <w:ind w:left="288"/>
      </w:pPr>
      <w:r>
        <w:t>Make automated generation idempotent so retries do not create duplicates.</w:t>
      </w:r>
    </w:p>
    <w:p>
      <w:pPr>
        <w:pStyle w:val="ListBullet"/>
        <w:spacing w:after="60"/>
        <w:ind w:left="288"/>
      </w:pPr>
      <w:r>
        <w:t>Move reusable business logic into services/helpers instead of repeating it across PHP pages.</w:t>
      </w:r>
    </w:p>
    <w:p>
      <w:pPr>
        <w:pStyle w:val="ListBullet"/>
        <w:spacing w:after="60"/>
        <w:ind w:left="288"/>
      </w:pPr>
      <w:r>
        <w:t>Use migrations for schema changes and maintain a release changelog.</w:t>
      </w:r>
    </w:p>
    <w:p>
      <w:pPr>
        <w:pStyle w:val="ListBullet"/>
        <w:spacing w:after="60"/>
        <w:ind w:left="288"/>
      </w:pPr>
      <w:r>
        <w:t>Validate server-side regardless of browser validation.</w:t>
      </w:r>
    </w:p>
    <w:p>
      <w:pPr>
        <w:pStyle w:val="ListBullet"/>
        <w:spacing w:after="60"/>
        <w:ind w:left="288"/>
      </w:pPr>
      <w:r>
        <w:t>Store files outside executable paths where practical and validate MIME type, size and extension.</w:t>
      </w:r>
    </w:p>
    <w:p>
      <w:pPr>
        <w:pStyle w:val="ListBullet"/>
        <w:spacing w:after="60"/>
        <w:ind w:left="288"/>
      </w:pPr>
      <w:r>
        <w:t>Use CSRF protection for state-changing requests and POST for destructive actions.</w:t>
      </w:r>
    </w:p>
    <w:p>
      <w:pPr>
        <w:pStyle w:val="Heading1"/>
      </w:pPr>
      <w:r>
        <w:t>14. Release Management</w:t>
      </w:r>
    </w:p>
    <w:tbl>
      <w:tblPr>
        <w:tblStyle w:val="TableGrid"/>
        <w:tblW w:type="auto" w:w="0"/>
        <w:jc w:val="center"/>
        <w:tblLook w:firstColumn="1" w:firstRow="1" w:lastColumn="0" w:lastRow="0" w:noHBand="0" w:noVBand="1" w:val="04A0"/>
      </w:tblPr>
      <w:tblGrid>
        <w:gridCol w:w="5083"/>
        <w:gridCol w:w="5083"/>
      </w:tblGrid>
      <w:tr>
        <w:tc>
          <w:tcPr>
            <w:tcW w:type="dxa" w:w="2592"/>
            <w:shd w:fill="151515"/>
            <w:vAlign w:val="center"/>
          </w:tcPr>
          <w:p>
            <w:r/>
            <w:r>
              <w:rPr>
                <w:rFonts w:ascii="Aptos" w:hAnsi="Aptos"/>
                <w:b/>
                <w:color w:val="FFFFFF"/>
                <w:sz w:val="18"/>
              </w:rPr>
              <w:t>Release</w:t>
            </w:r>
          </w:p>
        </w:tc>
        <w:tc>
          <w:tcPr>
            <w:tcW w:type="dxa" w:w="7488"/>
            <w:shd w:fill="151515"/>
            <w:vAlign w:val="center"/>
          </w:tcPr>
          <w:p>
            <w:r/>
            <w:r>
              <w:rPr>
                <w:rFonts w:ascii="Aptos" w:hAnsi="Aptos"/>
                <w:b/>
                <w:color w:val="FFFFFF"/>
                <w:sz w:val="18"/>
              </w:rPr>
              <w:t>Scope</w:t>
            </w:r>
          </w:p>
        </w:tc>
      </w:tr>
      <w:tr>
        <w:tc>
          <w:tcPr>
            <w:tcW w:type="dxa" w:w="2592"/>
            <w:shd w:fill="F7F7F5"/>
            <w:vAlign w:val="center"/>
          </w:tcPr>
          <w:p>
            <w:r/>
            <w:r>
              <w:rPr>
                <w:rFonts w:ascii="Aptos" w:hAnsi="Aptos"/>
                <w:b w:val="0"/>
                <w:color w:val="151515"/>
                <w:sz w:val="17"/>
              </w:rPr>
              <w:t>v0.8 Foundation</w:t>
            </w:r>
          </w:p>
        </w:tc>
        <w:tc>
          <w:tcPr>
            <w:tcW w:type="dxa" w:w="7488"/>
            <w:shd w:fill="F7F7F5"/>
            <w:vAlign w:val="center"/>
          </w:tcPr>
          <w:p>
            <w:r/>
            <w:r>
              <w:rPr>
                <w:rFonts w:ascii="Aptos" w:hAnsi="Aptos"/>
                <w:b w:val="0"/>
                <w:color w:val="151515"/>
                <w:sz w:val="17"/>
              </w:rPr>
              <w:t>Dashboard, properties, units and tenant foundation.</w:t>
            </w:r>
          </w:p>
        </w:tc>
      </w:tr>
      <w:tr>
        <w:tc>
          <w:tcPr>
            <w:tcW w:type="dxa" w:w="2592"/>
            <w:vAlign w:val="center"/>
          </w:tcPr>
          <w:p>
            <w:r/>
            <w:r>
              <w:rPr>
                <w:rFonts w:ascii="Aptos" w:hAnsi="Aptos"/>
                <w:b w:val="0"/>
                <w:color w:val="151515"/>
                <w:sz w:val="17"/>
              </w:rPr>
              <w:t>v0.9 Lease &amp; Rent</w:t>
            </w:r>
          </w:p>
        </w:tc>
        <w:tc>
          <w:tcPr>
            <w:tcW w:type="dxa" w:w="7488"/>
            <w:vAlign w:val="center"/>
          </w:tcPr>
          <w:p>
            <w:r/>
            <w:r>
              <w:rPr>
                <w:rFonts w:ascii="Aptos" w:hAnsi="Aptos"/>
                <w:b w:val="0"/>
                <w:color w:val="151515"/>
                <w:sz w:val="17"/>
              </w:rPr>
              <w:t>Lease lifecycle, agreement documents and receivables completion.</w:t>
            </w:r>
          </w:p>
        </w:tc>
      </w:tr>
      <w:tr>
        <w:tc>
          <w:tcPr>
            <w:tcW w:type="dxa" w:w="2592"/>
            <w:shd w:fill="F7F7F5"/>
            <w:vAlign w:val="center"/>
          </w:tcPr>
          <w:p>
            <w:r/>
            <w:r>
              <w:rPr>
                <w:rFonts w:ascii="Aptos" w:hAnsi="Aptos"/>
                <w:b w:val="0"/>
                <w:color w:val="151515"/>
                <w:sz w:val="17"/>
              </w:rPr>
              <w:t>v1.0 Core Enterprise</w:t>
            </w:r>
          </w:p>
        </w:tc>
        <w:tc>
          <w:tcPr>
            <w:tcW w:type="dxa" w:w="7488"/>
            <w:shd w:fill="F7F7F5"/>
            <w:vAlign w:val="center"/>
          </w:tcPr>
          <w:p>
            <w:r/>
            <w:r>
              <w:rPr>
                <w:rFonts w:ascii="Aptos" w:hAnsi="Aptos"/>
                <w:b w:val="0"/>
                <w:color w:val="151515"/>
                <w:sz w:val="17"/>
              </w:rPr>
              <w:t>Entities, finance, invoicing and document engine.</w:t>
            </w:r>
          </w:p>
        </w:tc>
      </w:tr>
      <w:tr>
        <w:tc>
          <w:tcPr>
            <w:tcW w:type="dxa" w:w="2592"/>
            <w:vAlign w:val="center"/>
          </w:tcPr>
          <w:p>
            <w:r/>
            <w:r>
              <w:rPr>
                <w:rFonts w:ascii="Aptos" w:hAnsi="Aptos"/>
                <w:b w:val="0"/>
                <w:color w:val="151515"/>
                <w:sz w:val="17"/>
              </w:rPr>
              <w:t>v1.5 Operations</w:t>
            </w:r>
          </w:p>
        </w:tc>
        <w:tc>
          <w:tcPr>
            <w:tcW w:type="dxa" w:w="7488"/>
            <w:vAlign w:val="center"/>
          </w:tcPr>
          <w:p>
            <w:r/>
            <w:r>
              <w:rPr>
                <w:rFonts w:ascii="Aptos" w:hAnsi="Aptos"/>
                <w:b w:val="0"/>
                <w:color w:val="151515"/>
                <w:sz w:val="17"/>
              </w:rPr>
              <w:t>Projects, contractors, fleet and expanded workflows.</w:t>
            </w:r>
          </w:p>
        </w:tc>
      </w:tr>
      <w:tr>
        <w:tc>
          <w:tcPr>
            <w:tcW w:type="dxa" w:w="2592"/>
            <w:shd w:fill="F7F7F5"/>
            <w:vAlign w:val="center"/>
          </w:tcPr>
          <w:p>
            <w:r/>
            <w:r>
              <w:rPr>
                <w:rFonts w:ascii="Aptos" w:hAnsi="Aptos"/>
                <w:b w:val="0"/>
                <w:color w:val="151515"/>
                <w:sz w:val="17"/>
              </w:rPr>
              <w:t>v2.0 Executive Platform</w:t>
            </w:r>
          </w:p>
        </w:tc>
        <w:tc>
          <w:tcPr>
            <w:tcW w:type="dxa" w:w="7488"/>
            <w:shd w:fill="F7F7F5"/>
            <w:vAlign w:val="center"/>
          </w:tcPr>
          <w:p>
            <w:r/>
            <w:r>
              <w:rPr>
                <w:rFonts w:ascii="Aptos" w:hAnsi="Aptos"/>
                <w:b w:val="0"/>
                <w:color w:val="151515"/>
                <w:sz w:val="17"/>
              </w:rPr>
              <w:t>Analytics, AI Assistant and automation.</w:t>
            </w:r>
          </w:p>
        </w:tc>
      </w:tr>
      <w:tr>
        <w:tc>
          <w:tcPr>
            <w:tcW w:type="dxa" w:w="2592"/>
            <w:vAlign w:val="center"/>
          </w:tcPr>
          <w:p>
            <w:r/>
            <w:r>
              <w:rPr>
                <w:rFonts w:ascii="Aptos" w:hAnsi="Aptos"/>
                <w:b w:val="0"/>
                <w:color w:val="151515"/>
                <w:sz w:val="17"/>
              </w:rPr>
              <w:t>v3.0 Multi-Organization SaaS</w:t>
            </w:r>
          </w:p>
        </w:tc>
        <w:tc>
          <w:tcPr>
            <w:tcW w:type="dxa" w:w="7488"/>
            <w:vAlign w:val="center"/>
          </w:tcPr>
          <w:p>
            <w:r/>
            <w:r>
              <w:rPr>
                <w:rFonts w:ascii="Aptos" w:hAnsi="Aptos"/>
                <w:b w:val="0"/>
                <w:color w:val="151515"/>
                <w:sz w:val="17"/>
              </w:rPr>
              <w:t>Tenant isolation, white-labeling, subscriptions and APIs.</w:t>
            </w:r>
          </w:p>
        </w:tc>
      </w:tr>
    </w:tbl>
    <w:p>
      <w:pPr>
        <w:spacing w:after="0"/>
      </w:pPr>
    </w:p>
    <w:tbl>
      <w:tblPr>
        <w:tblW w:type="auto" w:w="0"/>
        <w:jc w:val="center"/>
        <w:tblLayout w:type="autofit"/>
        <w:tblLook w:firstColumn="1" w:firstRow="1" w:lastColumn="0" w:lastRow="0" w:noHBand="0" w:noVBand="1" w:val="04A0"/>
      </w:tblPr>
      <w:tblGrid>
        <w:gridCol w:w="10166"/>
      </w:tblGrid>
      <w:tr>
        <w:tc>
          <w:tcPr>
            <w:tcW w:type="dxa" w:w="10166"/>
            <w:shd w:fill="F5F1E8"/>
          </w:tcPr>
          <w:p>
            <w:r>
              <w:rPr>
                <w:b/>
                <w:color w:val="B8892D"/>
                <w:sz w:val="22"/>
              </w:rPr>
              <w:t>Change-control rule</w:t>
              <w:br/>
            </w:r>
            <w:r>
              <w:rPr>
                <w:color w:val="151515"/>
                <w:sz w:val="20"/>
              </w:rPr>
              <w:t>Each sprint changes only its declared files and database migrations. A tested restore point is created before deployment. Global CSS or shared shell changes require regression testing across every completed module.</w:t>
            </w:r>
          </w:p>
        </w:tc>
      </w:tr>
    </w:tbl>
    <w:p>
      <w:pPr>
        <w:spacing w:after="0"/>
      </w:pPr>
    </w:p>
    <w:p>
      <w:pPr>
        <w:pStyle w:val="Heading1"/>
      </w:pPr>
      <w:r>
        <w:t>15. Product Roadmap</w:t>
      </w:r>
    </w:p>
    <w:p>
      <w:pPr>
        <w:pStyle w:val="ListNumber"/>
        <w:spacing w:after="60"/>
        <w:ind w:left="288"/>
      </w:pPr>
      <w:r>
        <w:t>Finish Lease Engine: agreement generation, lifecycle, renewal, termination, obligations, notices, documents and workflows.</w:t>
      </w:r>
    </w:p>
    <w:p>
      <w:pPr>
        <w:pStyle w:val="ListNumber"/>
        <w:spacing w:after="60"/>
        <w:ind w:left="288"/>
      </w:pPr>
      <w:r>
        <w:t>Finish Rent Engine: receipts, arrears, statements, reminders, reconciliation and aging.</w:t>
      </w:r>
    </w:p>
    <w:p>
      <w:pPr>
        <w:pStyle w:val="ListNumber"/>
        <w:spacing w:after="60"/>
        <w:ind w:left="288"/>
      </w:pPr>
      <w:r>
        <w:t>Build Entity Engine: legal identity, ownership, branding, banking, numbering and inherited scope.</w:t>
      </w:r>
    </w:p>
    <w:p>
      <w:pPr>
        <w:pStyle w:val="ListNumber"/>
        <w:spacing w:after="60"/>
        <w:ind w:left="288"/>
      </w:pPr>
      <w:r>
        <w:t>Build Finance and Invoicing on the completed Lease, Rent and Entity foundations.</w:t>
      </w:r>
    </w:p>
    <w:p>
      <w:pPr>
        <w:pStyle w:val="ListNumber"/>
        <w:spacing w:after="60"/>
        <w:ind w:left="288"/>
      </w:pPr>
      <w:r>
        <w:t>Expand Documents and Audit across every engine.</w:t>
      </w:r>
    </w:p>
    <w:p>
      <w:pPr>
        <w:pStyle w:val="ListNumber"/>
        <w:spacing w:after="60"/>
        <w:ind w:left="288"/>
      </w:pPr>
      <w:r>
        <w:t>Add Analytics and permission-aware AI after the systems of record are reliable.</w:t>
      </w:r>
    </w:p>
    <w:p>
      <w:pPr>
        <w:spacing w:after="160"/>
        <w:pBdr>
          <w:bottom w:val="single" w:sz="8" w:space="1" w:color="B8892D"/>
        </w:pBdr>
      </w:pPr>
    </w:p>
    <w:p>
      <w:pPr>
        <w:pStyle w:val="OMSEyebrow"/>
      </w:pPr>
      <w:r>
        <w:t>Architecture decision test</w:t>
      </w:r>
    </w:p>
    <w:p>
      <w:pPr>
        <w:pStyle w:val="OMSCallout"/>
        <w:jc w:val="center"/>
      </w:pPr>
      <w:r>
        <w:t>Would this still make sense with 5,000 companies, 60,000 properties and 2 million leases?</w:t>
      </w:r>
    </w:p>
    <w:p>
      <w:pPr>
        <w:pStyle w:val="OMSSmall"/>
        <w:jc w:val="center"/>
      </w:pPr>
      <w:r>
        <w:t>If the answer is no, redesign before implementation.</w:t>
      </w:r>
    </w:p>
    <w:sectPr w:rsidR="00FC693F" w:rsidRPr="0006063C" w:rsidSect="00034616">
      <w:headerReference w:type="default" r:id="rId9"/>
      <w:footerReference w:type="default" r:id="rId10"/>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334155"/>
        <w:sz w:val="16"/>
      </w:rPr>
      <w:t>The Angel Organisation  •  OMS Architecture Manual v1.0</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b/>
        <w:color w:val="B8892D"/>
        <w:sz w:val="16"/>
      </w:rPr>
      <w:t>OMS  |  ENTERPRISE ARCHITECTURE MANUAL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pPr>
    <w:rPr>
      <w:rFonts w:ascii="Aptos" w:hAnsi="Aptos"/>
      <w:color w:val="151515"/>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40"/>
      <w:outlineLvl w:val="0"/>
    </w:pPr>
    <w:rPr>
      <w:rFonts w:asciiTheme="majorHAnsi" w:eastAsiaTheme="majorEastAsia" w:hAnsiTheme="majorHAnsi" w:cstheme="majorBidi" w:ascii="Aptos Display" w:hAnsi="Aptos Display"/>
      <w:b/>
      <w:bCs/>
      <w:color w:val="151515"/>
      <w:sz w:val="46"/>
      <w:szCs w:val="28"/>
    </w:rPr>
  </w:style>
  <w:style w:type="paragraph" w:styleId="Heading2">
    <w:name w:val="heading 2"/>
    <w:basedOn w:val="Normal"/>
    <w:next w:val="Normal"/>
    <w:link w:val="Heading2Char"/>
    <w:uiPriority w:val="9"/>
    <w:unhideWhenUsed/>
    <w:qFormat/>
    <w:rsid w:val="00FC693F"/>
    <w:pPr>
      <w:keepNext/>
      <w:keepLines/>
      <w:spacing w:before="240" w:after="140"/>
      <w:outlineLvl w:val="1"/>
    </w:pPr>
    <w:rPr>
      <w:rFonts w:asciiTheme="majorHAnsi" w:eastAsiaTheme="majorEastAsia" w:hAnsiTheme="majorHAnsi" w:cstheme="majorBidi" w:ascii="Aptos Display" w:hAnsi="Aptos Display"/>
      <w:b/>
      <w:bCs/>
      <w:color w:val="B8892D"/>
      <w:sz w:val="32"/>
      <w:szCs w:val="26"/>
    </w:rPr>
  </w:style>
  <w:style w:type="paragraph" w:styleId="Heading3">
    <w:name w:val="heading 3"/>
    <w:basedOn w:val="Normal"/>
    <w:next w:val="Normal"/>
    <w:link w:val="Heading3Char"/>
    <w:uiPriority w:val="9"/>
    <w:unhideWhenUsed/>
    <w:qFormat/>
    <w:rsid w:val="00FC693F"/>
    <w:pPr>
      <w:keepNext/>
      <w:keepLines/>
      <w:spacing w:before="240" w:after="140"/>
      <w:outlineLvl w:val="2"/>
    </w:pPr>
    <w:rPr>
      <w:rFonts w:asciiTheme="majorHAnsi" w:eastAsiaTheme="majorEastAsia" w:hAnsiTheme="majorHAnsi" w:cstheme="majorBidi" w:ascii="Aptos Display" w:hAnsi="Aptos Display"/>
      <w:b/>
      <w:bCs/>
      <w:color w:val="334155"/>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40" w:line="240" w:lineRule="auto" w:before="240"/>
      <w:contextualSpacing/>
    </w:pPr>
    <w:rPr>
      <w:rFonts w:asciiTheme="majorHAnsi" w:eastAsiaTheme="majorEastAsia" w:hAnsiTheme="majorHAnsi" w:cstheme="majorBidi" w:ascii="Aptos Display" w:hAnsi="Aptos Display"/>
      <w:b/>
      <w:color w:val="B8892D"/>
      <w:spacing w:val="5"/>
      <w:kern w:val="28"/>
      <w:sz w:val="6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OMSEyebrow">
    <w:name w:val="OMS Eyebrow"/>
    <w:rPr>
      <w:rFonts w:ascii="Aptos" w:hAnsi="Aptos"/>
      <w:b/>
      <w:color w:val="B8892D"/>
      <w:sz w:val="18"/>
    </w:rPr>
  </w:style>
  <w:style w:type="paragraph" w:customStyle="1" w:styleId="OMSCallout">
    <w:name w:val="OMS Callout"/>
    <w:rPr>
      <w:rFonts w:ascii="Aptos" w:hAnsi="Aptos"/>
      <w:b/>
      <w:color w:val="151515"/>
      <w:sz w:val="22"/>
    </w:rPr>
  </w:style>
  <w:style w:type="paragraph" w:customStyle="1" w:styleId="OMSSmall">
    <w:name w:val="OMS Small"/>
    <w:rPr>
      <w:rFonts w:ascii="Aptos" w:hAnsi="Aptos"/>
      <w:b w:val="0"/>
      <w:color w:val="334155"/>
      <w:sz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OMS Enterprise Architecture Manual</dc:title>
  <dc:subject>Architecture, design, engine boundaries and release standards for OMS</dc:subject>
  <dc:creator>The Angel Organisation</dc:creator>
  <cp:keywords>OMS, enterprise architecture, lease engine, rent engine, entity engine, finance</cp:keywords>
  <dc:description>generated by python-docx</dc:description>
  <cp:lastModifiedBy/>
  <cp:revision>1</cp:revision>
  <dcterms:created xsi:type="dcterms:W3CDTF">2013-12-23T23:15:00Z</dcterms:created>
  <dcterms:modified xsi:type="dcterms:W3CDTF">2013-12-23T23:15:00Z</dcterms:modified>
  <cp:category/>
</cp:coreProperties>
</file>