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B8892F"/>
          <w:sz w:val="22"/>
        </w:rPr>
        <w:t>OMS ENTERPRISE</w:t>
      </w:r>
    </w:p>
    <w:p>
      <w:pPr>
        <w:jc w:val="center"/>
      </w:pPr>
      <w:r>
        <w:rPr>
          <w:b/>
          <w:color w:val="161616"/>
          <w:sz w:val="54"/>
        </w:rPr>
        <w:t>Database Dictionary</w:t>
      </w:r>
    </w:p>
    <w:p>
      <w:pPr>
        <w:jc w:val="center"/>
      </w:pPr>
      <w:r>
        <w:rPr>
          <w:i/>
          <w:color w:val="666666"/>
          <w:sz w:val="22"/>
        </w:rPr>
        <w:t>Engine ownership, tables, relationships and naming standards</w:t>
      </w:r>
    </w:p>
    <w:p>
      <w:pPr>
        <w:jc w:val="center"/>
      </w:pPr>
      <w:r>
        <w:rPr>
          <w:b/>
          <w:color w:val="B8892F"/>
        </w:rPr>
        <w:t>Version 1.0 · Lease Engine Baseline</w:t>
      </w:r>
    </w:p>
    <w:p>
      <w:r>
        <w:br w:type="page"/>
      </w:r>
    </w:p>
    <w:p>
      <w:pPr>
        <w:pStyle w:val="Heading1"/>
      </w:pPr>
      <w:r>
        <w:t>1. Data hierarchy</w:t>
      </w:r>
    </w:p>
    <w:p>
      <w:r>
        <w:t>Organization → Entity → Property → Unit → Tenant → Lease → Receivable / Invoice → Payment. References should point to the engine that owns the record; descriptive data should not be duplicated unless it is an immutable document snapshot.</w:t>
      </w:r>
    </w:p>
    <w:p>
      <w:pPr>
        <w:pStyle w:val="Heading1"/>
      </w:pPr>
      <w:r>
        <w:t>2. Core tables observed in the live baseline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B8892F"/>
            <w:vAlign w:val="center"/>
          </w:tcPr>
          <w:p>
            <w:r>
              <w:rPr>
                <w:b/>
                <w:color w:val="FFFFFF"/>
                <w:sz w:val="17"/>
              </w:rPr>
              <w:t>Table</w:t>
            </w:r>
          </w:p>
        </w:tc>
        <w:tc>
          <w:tcPr>
            <w:tcW w:type="dxa" w:w="3389"/>
            <w:shd w:fill="B8892F"/>
            <w:vAlign w:val="center"/>
          </w:tcPr>
          <w:p>
            <w:r>
              <w:rPr>
                <w:b/>
                <w:color w:val="FFFFFF"/>
                <w:sz w:val="17"/>
              </w:rPr>
              <w:t>Owner</w:t>
            </w:r>
          </w:p>
        </w:tc>
        <w:tc>
          <w:tcPr>
            <w:tcW w:type="dxa" w:w="3389"/>
            <w:shd w:fill="B8892F"/>
            <w:vAlign w:val="center"/>
          </w:tcPr>
          <w:p>
            <w:r>
              <w:rPr>
                <w:b/>
                <w:color w:val="FFFFFF"/>
                <w:sz w:val="17"/>
              </w:rPr>
              <w:t>Purpose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entities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Entity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Legal and management entities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properties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Property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Property master record; should reference entity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property_units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Unit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Units within a property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tenants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Tenant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Tenant identity and contact record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leases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Lease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Agreement master and commercial terms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rent_payments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Rent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Monthly receivable/payment schedule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invoices / invoice_items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Finance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Invoice header and lines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payments / invoice_payments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Finance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Payments and allocation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documents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Document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General document metadata</w:t>
            </w:r>
          </w:p>
        </w:tc>
      </w:tr>
      <w:tr>
        <w:tc>
          <w:tcPr>
            <w:tcW w:type="dxa" w:w="3389"/>
            <w:vAlign w:val="top"/>
          </w:tcPr>
          <w:p>
            <w:r>
              <w:rPr>
                <w:sz w:val="17"/>
              </w:rPr>
              <w:t>users / IAM tables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IAM Engine</w:t>
            </w:r>
          </w:p>
        </w:tc>
        <w:tc>
          <w:tcPr>
            <w:tcW w:type="dxa" w:w="3389"/>
            <w:vAlign w:val="top"/>
          </w:tcPr>
          <w:p>
            <w:r>
              <w:rPr>
                <w:sz w:val="17"/>
              </w:rPr>
              <w:t>Users, roles, permissions and scope</w:t>
            </w:r>
          </w:p>
        </w:tc>
      </w:tr>
    </w:tbl>
    <w:p>
      <w:pPr>
        <w:pStyle w:val="Heading1"/>
      </w:pPr>
      <w:r>
        <w:t>3. Lease Engine tables</w:t>
      </w:r>
    </w:p>
    <w:p>
      <w:pPr>
        <w:pStyle w:val="Heading2"/>
      </w:pPr>
      <w:r>
        <w:t>leases</w:t>
      </w:r>
    </w:p>
    <w:p>
      <w:r>
        <w:t>Agreement master</w:t>
      </w:r>
    </w:p>
    <w:p>
      <w:r>
        <w:t>id, organization_id, property_id, unit_id, tenant_id, lease_start, lease_end, monthly_rent, deposit_amount, billing_day, status, renewed_from_lease_id, terminated_at, archived_at</w:t>
      </w:r>
    </w:p>
    <w:p>
      <w:pPr>
        <w:pStyle w:val="Heading2"/>
      </w:pPr>
      <w:r>
        <w:t>lease_events</w:t>
      </w:r>
    </w:p>
    <w:p>
      <w:r>
        <w:t>Auditable timeline</w:t>
      </w:r>
    </w:p>
    <w:p>
      <w:r>
        <w:t>organization_id, lease_id, event_type, title, description, event_date, created_by</w:t>
      </w:r>
    </w:p>
    <w:p>
      <w:pPr>
        <w:pStyle w:val="Heading2"/>
      </w:pPr>
      <w:r>
        <w:t>lease_documents</w:t>
      </w:r>
    </w:p>
    <w:p>
      <w:r>
        <w:t>Lease-linked document metadata</w:t>
      </w:r>
    </w:p>
    <w:p>
      <w:r>
        <w:t>organization_id, lease_id, document_type, title, file_name, file_path, mime_type, file_size, uploaded_by</w:t>
      </w:r>
    </w:p>
    <w:p>
      <w:pPr>
        <w:pStyle w:val="Heading2"/>
      </w:pPr>
      <w:r>
        <w:t>lease_obligations</w:t>
      </w:r>
    </w:p>
    <w:p>
      <w:r>
        <w:t>Structured responsibilities</w:t>
      </w:r>
    </w:p>
    <w:p>
      <w:r>
        <w:t>organization_id, lease_id, responsible_party, title, description, due_date, status, completed_at</w:t>
      </w:r>
    </w:p>
    <w:p>
      <w:pPr>
        <w:pStyle w:val="Heading2"/>
      </w:pPr>
      <w:r>
        <w:t>lease_notices</w:t>
      </w:r>
    </w:p>
    <w:p>
      <w:r>
        <w:t>Formal communications</w:t>
      </w:r>
    </w:p>
    <w:p>
      <w:r>
        <w:t>organization_id, lease_id, notice_type, subject, body, notice_date, delivery_method, recipient, status</w:t>
      </w:r>
    </w:p>
    <w:p>
      <w:pPr>
        <w:pStyle w:val="Heading1"/>
      </w:pPr>
      <w:r>
        <w:t>4. Status vocabularies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B8892F"/>
            <w:vAlign w:val="center"/>
          </w:tcPr>
          <w:p>
            <w:r>
              <w:rPr>
                <w:b/>
                <w:color w:val="FFFFFF"/>
                <w:sz w:val="17"/>
              </w:rPr>
              <w:t>Domain</w:t>
            </w:r>
          </w:p>
        </w:tc>
        <w:tc>
          <w:tcPr>
            <w:tcW w:type="dxa" w:w="5083"/>
            <w:shd w:fill="B8892F"/>
            <w:vAlign w:val="center"/>
          </w:tcPr>
          <w:p>
            <w:r>
              <w:rPr>
                <w:b/>
                <w:color w:val="FFFFFF"/>
                <w:sz w:val="17"/>
              </w:rPr>
              <w:t>Allowed / Recommended Values</w:t>
            </w:r>
          </w:p>
        </w:tc>
      </w:tr>
      <w:tr>
        <w:tc>
          <w:tcPr>
            <w:tcW w:type="dxa" w:w="5083"/>
            <w:vAlign w:val="top"/>
          </w:tcPr>
          <w:p>
            <w:r>
              <w:rPr>
                <w:sz w:val="17"/>
              </w:rPr>
              <w:t>Lease</w:t>
            </w:r>
          </w:p>
        </w:tc>
        <w:tc>
          <w:tcPr>
            <w:tcW w:type="dxa" w:w="5083"/>
            <w:vAlign w:val="top"/>
          </w:tcPr>
          <w:p>
            <w:r>
              <w:rPr>
                <w:sz w:val="17"/>
              </w:rPr>
              <w:t>draft, pending, active, expired, renewed, terminated, archived</w:t>
            </w:r>
          </w:p>
        </w:tc>
      </w:tr>
      <w:tr>
        <w:tc>
          <w:tcPr>
            <w:tcW w:type="dxa" w:w="5083"/>
            <w:vAlign w:val="top"/>
          </w:tcPr>
          <w:p>
            <w:r>
              <w:rPr>
                <w:sz w:val="17"/>
              </w:rPr>
              <w:t>Obligation</w:t>
            </w:r>
          </w:p>
        </w:tc>
        <w:tc>
          <w:tcPr>
            <w:tcW w:type="dxa" w:w="5083"/>
            <w:vAlign w:val="top"/>
          </w:tcPr>
          <w:p>
            <w:r>
              <w:rPr>
                <w:sz w:val="17"/>
              </w:rPr>
              <w:t>open, completed, waived, overdue</w:t>
            </w:r>
          </w:p>
        </w:tc>
      </w:tr>
      <w:tr>
        <w:tc>
          <w:tcPr>
            <w:tcW w:type="dxa" w:w="5083"/>
            <w:vAlign w:val="top"/>
          </w:tcPr>
          <w:p>
            <w:r>
              <w:rPr>
                <w:sz w:val="17"/>
              </w:rPr>
              <w:t>Notice</w:t>
            </w:r>
          </w:p>
        </w:tc>
        <w:tc>
          <w:tcPr>
            <w:tcW w:type="dxa" w:w="5083"/>
            <w:vAlign w:val="top"/>
          </w:tcPr>
          <w:p>
            <w:r>
              <w:rPr>
                <w:sz w:val="17"/>
              </w:rPr>
              <w:t>draft, issued, acknowledged, cancelled</w:t>
            </w:r>
          </w:p>
        </w:tc>
      </w:tr>
      <w:tr>
        <w:tc>
          <w:tcPr>
            <w:tcW w:type="dxa" w:w="5083"/>
            <w:vAlign w:val="top"/>
          </w:tcPr>
          <w:p>
            <w:r>
              <w:rPr>
                <w:sz w:val="17"/>
              </w:rPr>
              <w:t>Rent receivable</w:t>
            </w:r>
          </w:p>
        </w:tc>
        <w:tc>
          <w:tcPr>
            <w:tcW w:type="dxa" w:w="5083"/>
            <w:vAlign w:val="top"/>
          </w:tcPr>
          <w:p>
            <w:r>
              <w:rPr>
                <w:sz w:val="17"/>
              </w:rPr>
              <w:t>pending, partial, paid, overdue</w:t>
            </w:r>
          </w:p>
        </w:tc>
      </w:tr>
    </w:tbl>
    <w:p>
      <w:pPr>
        <w:pStyle w:val="Heading1"/>
      </w:pPr>
      <w:r>
        <w:t>5. Relationship rules</w:t>
      </w:r>
    </w:p>
    <w:p>
      <w:pPr>
        <w:pStyle w:val="ListBullet"/>
      </w:pPr>
      <w:r>
        <w:t>A lease references one tenant, property and unit; tenant contact details remain owned by Tenant Engine.</w:t>
      </w:r>
    </w:p>
    <w:p>
      <w:pPr>
        <w:pStyle w:val="ListBullet"/>
      </w:pPr>
      <w:r>
        <w:t>A renewal creates a new lease and records renewed_from_lease_id; the previous lease is retained.</w:t>
      </w:r>
    </w:p>
    <w:p>
      <w:pPr>
        <w:pStyle w:val="ListBullet"/>
      </w:pPr>
      <w:r>
        <w:t>Lease documents store metadata and file path; future Document Engine migration may centralise the binary record.</w:t>
      </w:r>
    </w:p>
    <w:p>
      <w:pPr>
        <w:pStyle w:val="ListBullet"/>
      </w:pPr>
      <w:r>
        <w:t>Every lifecycle action should create a lease_events record.</w:t>
      </w:r>
    </w:p>
    <w:p>
      <w:pPr>
        <w:pStyle w:val="ListBullet"/>
      </w:pPr>
      <w:r>
        <w:t>All operational tables must carry organization_id now and entity_id where legal/financial ownership requires it.</w:t>
      </w:r>
    </w:p>
    <w:p>
      <w:pPr>
        <w:pStyle w:val="Heading1"/>
      </w:pPr>
      <w:r>
        <w:t>6. Naming and migration standards</w:t>
      </w:r>
    </w:p>
    <w:p>
      <w:pPr>
        <w:pStyle w:val="ListBullet"/>
      </w:pPr>
      <w:r>
        <w:t>Use snake_case table and column names.</w:t>
      </w:r>
    </w:p>
    <w:p>
      <w:pPr>
        <w:pStyle w:val="ListBullet"/>
      </w:pPr>
      <w:r>
        <w:t>Primary keys use id; foreign keys use singular_table_id.</w:t>
      </w:r>
    </w:p>
    <w:p>
      <w:pPr>
        <w:pStyle w:val="ListBullet"/>
      </w:pPr>
      <w:r>
        <w:t>Timestamps use created_at, updated_at, completed_at, archived_at.</w:t>
      </w:r>
    </w:p>
    <w:p>
      <w:pPr>
        <w:pStyle w:val="ListBullet"/>
      </w:pPr>
      <w:r>
        <w:t>Never silently alter production tables at page load.</w:t>
      </w:r>
    </w:p>
    <w:p>
      <w:pPr>
        <w:pStyle w:val="ListBullet"/>
      </w:pPr>
      <w:r>
        <w:t>Every schema change is versioned in database/ and added to Release Notes.</w:t>
      </w:r>
    </w:p>
    <w:sectPr w:rsidR="00FC693F" w:rsidRPr="0006063C" w:rsidSect="00034616">
      <w:footerReference w:type="default" r:id="rId9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6"/>
      </w:rPr>
      <w:t>OMS Enterprise Database Dictionary · Internal Engineering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B8892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6161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B8892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61616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