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B8892F"/>
          <w:sz w:val="22"/>
        </w:rPr>
        <w:t>OMS ENTERPRISE</w:t>
      </w:r>
    </w:p>
    <w:p>
      <w:pPr>
        <w:jc w:val="center"/>
      </w:pPr>
      <w:r>
        <w:rPr>
          <w:b/>
          <w:color w:val="161616"/>
          <w:sz w:val="54"/>
        </w:rPr>
        <w:t>Product Backlog</w:t>
      </w:r>
    </w:p>
    <w:p>
      <w:pPr>
        <w:jc w:val="center"/>
      </w:pPr>
      <w:r>
        <w:rPr>
          <w:i/>
          <w:color w:val="666666"/>
          <w:sz w:val="22"/>
        </w:rPr>
        <w:t>The living roadmap for engines, releases, technical debt and commercial growth</w:t>
      </w:r>
    </w:p>
    <w:p>
      <w:pPr>
        <w:jc w:val="center"/>
      </w:pPr>
      <w:r>
        <w:rPr>
          <w:b/>
          <w:color w:val="B8892F"/>
        </w:rPr>
        <w:t>Version 1.0 · 12 July 2026</w:t>
      </w:r>
    </w:p>
    <w:p>
      <w:r>
        <w:br w:type="page"/>
      </w:r>
    </w:p>
    <w:p>
      <w:pPr>
        <w:pStyle w:val="Heading1"/>
      </w:pPr>
      <w:r>
        <w:t>1. Purpose and operating rules</w:t>
      </w:r>
    </w:p>
    <w:p>
      <w:r>
        <w:t>This backlog is the single source of truth for OMS product development. Work is organised by engine, prioritised by business value and dependency, and released through controlled versioned builds.</w:t>
      </w:r>
    </w:p>
    <w:p>
      <w:pPr>
        <w:pStyle w:val="ListBullet"/>
      </w:pPr>
      <w:r>
        <w:t>No sprint may modify unrelated stable modules.</w:t>
      </w:r>
    </w:p>
    <w:p>
      <w:pPr>
        <w:pStyle w:val="ListBullet"/>
      </w:pPr>
      <w:r>
        <w:t>Every database change must ship with a migration and rollback note.</w:t>
      </w:r>
    </w:p>
    <w:p>
      <w:pPr>
        <w:pStyle w:val="ListBullet"/>
      </w:pPr>
      <w:r>
        <w:t>Every completed item must be recorded in Release Notes.</w:t>
      </w:r>
    </w:p>
    <w:p>
      <w:pPr>
        <w:pStyle w:val="ListBullet"/>
      </w:pPr>
      <w:r>
        <w:t>Critical work must pass PHP syntax checks and a written test plan before deployment.</w:t>
      </w:r>
    </w:p>
    <w:p>
      <w:pPr>
        <w:pStyle w:val="Heading1"/>
      </w:pPr>
      <w:r>
        <w:t>2. Engine portfolio</w:t>
      </w:r>
    </w:p>
    <w:tbl>
      <w:tblPr>
        <w:tblStyle w:val="TableGrid"/>
        <w:tblW w:type="auto" w:w="0"/>
        <w:jc w:val="center"/>
        <w:tblLook w:firstColumn="1" w:firstRow="1" w:lastColumn="0" w:lastRow="0" w:noHBand="0" w:noVBand="1" w:val="04A0"/>
      </w:tblPr>
      <w:tblGrid>
        <w:gridCol w:w="2541"/>
        <w:gridCol w:w="2541"/>
        <w:gridCol w:w="2541"/>
        <w:gridCol w:w="2541"/>
      </w:tblGrid>
      <w:tr>
        <w:tc>
          <w:tcPr>
            <w:tcW w:type="dxa" w:w="2541"/>
            <w:shd w:fill="B8892F"/>
            <w:vAlign w:val="center"/>
          </w:tcPr>
          <w:p>
            <w:r>
              <w:rPr>
                <w:b/>
                <w:color w:val="FFFFFF"/>
                <w:sz w:val="17"/>
              </w:rPr>
              <w:t>Engine</w:t>
            </w:r>
          </w:p>
        </w:tc>
        <w:tc>
          <w:tcPr>
            <w:tcW w:type="dxa" w:w="2541"/>
            <w:shd w:fill="B8892F"/>
            <w:vAlign w:val="center"/>
          </w:tcPr>
          <w:p>
            <w:r>
              <w:rPr>
                <w:b/>
                <w:color w:val="FFFFFF"/>
                <w:sz w:val="17"/>
              </w:rPr>
              <w:t>Status</w:t>
            </w:r>
          </w:p>
        </w:tc>
        <w:tc>
          <w:tcPr>
            <w:tcW w:type="dxa" w:w="2541"/>
            <w:shd w:fill="B8892F"/>
            <w:vAlign w:val="center"/>
          </w:tcPr>
          <w:p>
            <w:r>
              <w:rPr>
                <w:b/>
                <w:color w:val="FFFFFF"/>
                <w:sz w:val="17"/>
              </w:rPr>
              <w:t>Priority</w:t>
            </w:r>
          </w:p>
        </w:tc>
        <w:tc>
          <w:tcPr>
            <w:tcW w:type="dxa" w:w="2541"/>
            <w:shd w:fill="B8892F"/>
            <w:vAlign w:val="center"/>
          </w:tcPr>
          <w:p>
            <w:r>
              <w:rPr>
                <w:b/>
                <w:color w:val="FFFFFF"/>
                <w:sz w:val="17"/>
              </w:rPr>
              <w:t>Purpose</w:t>
            </w:r>
          </w:p>
        </w:tc>
      </w:tr>
      <w:tr>
        <w:tc>
          <w:tcPr>
            <w:tcW w:type="dxa" w:w="2541"/>
            <w:vAlign w:val="top"/>
          </w:tcPr>
          <w:p>
            <w:r>
              <w:rPr>
                <w:sz w:val="17"/>
              </w:rPr>
              <w:t>Identity &amp; Access</w:t>
            </w:r>
          </w:p>
        </w:tc>
        <w:tc>
          <w:tcPr>
            <w:tcW w:type="dxa" w:w="2541"/>
            <w:vAlign w:val="top"/>
          </w:tcPr>
          <w:p>
            <w:r>
              <w:rPr>
                <w:sz w:val="17"/>
              </w:rPr>
              <w:t>Stable / evolving</w:t>
            </w:r>
          </w:p>
        </w:tc>
        <w:tc>
          <w:tcPr>
            <w:tcW w:type="dxa" w:w="2541"/>
            <w:vAlign w:val="top"/>
          </w:tcPr>
          <w:p>
            <w:r>
              <w:rPr>
                <w:sz w:val="17"/>
              </w:rPr>
              <w:t>Critical</w:t>
            </w:r>
          </w:p>
        </w:tc>
        <w:tc>
          <w:tcPr>
            <w:tcW w:type="dxa" w:w="2541"/>
            <w:vAlign w:val="top"/>
          </w:tcPr>
          <w:p>
            <w:r>
              <w:rPr>
                <w:sz w:val="17"/>
              </w:rPr>
              <w:t>Roles, permissions, entity and module scope</w:t>
            </w:r>
          </w:p>
        </w:tc>
      </w:tr>
      <w:tr>
        <w:tc>
          <w:tcPr>
            <w:tcW w:type="dxa" w:w="2541"/>
            <w:vAlign w:val="top"/>
          </w:tcPr>
          <w:p>
            <w:r>
              <w:rPr>
                <w:sz w:val="17"/>
              </w:rPr>
              <w:t>Entity</w:t>
            </w:r>
          </w:p>
        </w:tc>
        <w:tc>
          <w:tcPr>
            <w:tcW w:type="dxa" w:w="2541"/>
            <w:vAlign w:val="top"/>
          </w:tcPr>
          <w:p>
            <w:r>
              <w:rPr>
                <w:sz w:val="17"/>
              </w:rPr>
              <w:t>Planned next</w:t>
            </w:r>
          </w:p>
        </w:tc>
        <w:tc>
          <w:tcPr>
            <w:tcW w:type="dxa" w:w="2541"/>
            <w:vAlign w:val="top"/>
          </w:tcPr>
          <w:p>
            <w:r>
              <w:rPr>
                <w:sz w:val="17"/>
              </w:rPr>
              <w:t>Critical</w:t>
            </w:r>
          </w:p>
        </w:tc>
        <w:tc>
          <w:tcPr>
            <w:tcW w:type="dxa" w:w="2541"/>
            <w:vAlign w:val="top"/>
          </w:tcPr>
          <w:p>
            <w:r>
              <w:rPr>
                <w:sz w:val="17"/>
              </w:rPr>
              <w:t>Legal ownership, branding, bank and reporting context</w:t>
            </w:r>
          </w:p>
        </w:tc>
      </w:tr>
      <w:tr>
        <w:tc>
          <w:tcPr>
            <w:tcW w:type="dxa" w:w="2541"/>
            <w:vAlign w:val="top"/>
          </w:tcPr>
          <w:p>
            <w:r>
              <w:rPr>
                <w:sz w:val="17"/>
              </w:rPr>
              <w:t>Property</w:t>
            </w:r>
          </w:p>
        </w:tc>
        <w:tc>
          <w:tcPr>
            <w:tcW w:type="dxa" w:w="2541"/>
            <w:vAlign w:val="top"/>
          </w:tcPr>
          <w:p>
            <w:r>
              <w:rPr>
                <w:sz w:val="17"/>
              </w:rPr>
              <w:t>Stable</w:t>
            </w:r>
          </w:p>
        </w:tc>
        <w:tc>
          <w:tcPr>
            <w:tcW w:type="dxa" w:w="2541"/>
            <w:vAlign w:val="top"/>
          </w:tcPr>
          <w:p>
            <w:r>
              <w:rPr>
                <w:sz w:val="17"/>
              </w:rPr>
              <w:t>Maintenance</w:t>
            </w:r>
          </w:p>
        </w:tc>
        <w:tc>
          <w:tcPr>
            <w:tcW w:type="dxa" w:w="2541"/>
            <w:vAlign w:val="top"/>
          </w:tcPr>
          <w:p>
            <w:r>
              <w:rPr>
                <w:sz w:val="17"/>
              </w:rPr>
              <w:t>Portfolio and property workspaces</w:t>
            </w:r>
          </w:p>
        </w:tc>
      </w:tr>
      <w:tr>
        <w:tc>
          <w:tcPr>
            <w:tcW w:type="dxa" w:w="2541"/>
            <w:vAlign w:val="top"/>
          </w:tcPr>
          <w:p>
            <w:r>
              <w:rPr>
                <w:sz w:val="17"/>
              </w:rPr>
              <w:t>Unit</w:t>
            </w:r>
          </w:p>
        </w:tc>
        <w:tc>
          <w:tcPr>
            <w:tcW w:type="dxa" w:w="2541"/>
            <w:vAlign w:val="top"/>
          </w:tcPr>
          <w:p>
            <w:r>
              <w:rPr>
                <w:sz w:val="17"/>
              </w:rPr>
              <w:t>Stable</w:t>
            </w:r>
          </w:p>
        </w:tc>
        <w:tc>
          <w:tcPr>
            <w:tcW w:type="dxa" w:w="2541"/>
            <w:vAlign w:val="top"/>
          </w:tcPr>
          <w:p>
            <w:r>
              <w:rPr>
                <w:sz w:val="17"/>
              </w:rPr>
              <w:t>Maintenance</w:t>
            </w:r>
          </w:p>
        </w:tc>
        <w:tc>
          <w:tcPr>
            <w:tcW w:type="dxa" w:w="2541"/>
            <w:vAlign w:val="top"/>
          </w:tcPr>
          <w:p>
            <w:r>
              <w:rPr>
                <w:sz w:val="17"/>
              </w:rPr>
              <w:t>Occupancy and availability</w:t>
            </w:r>
          </w:p>
        </w:tc>
      </w:tr>
      <w:tr>
        <w:tc>
          <w:tcPr>
            <w:tcW w:type="dxa" w:w="2541"/>
            <w:vAlign w:val="top"/>
          </w:tcPr>
          <w:p>
            <w:r>
              <w:rPr>
                <w:sz w:val="17"/>
              </w:rPr>
              <w:t>Tenant</w:t>
            </w:r>
          </w:p>
        </w:tc>
        <w:tc>
          <w:tcPr>
            <w:tcW w:type="dxa" w:w="2541"/>
            <w:vAlign w:val="top"/>
          </w:tcPr>
          <w:p>
            <w:r>
              <w:rPr>
                <w:sz w:val="17"/>
              </w:rPr>
              <w:t>Stable</w:t>
            </w:r>
          </w:p>
        </w:tc>
        <w:tc>
          <w:tcPr>
            <w:tcW w:type="dxa" w:w="2541"/>
            <w:vAlign w:val="top"/>
          </w:tcPr>
          <w:p>
            <w:r>
              <w:rPr>
                <w:sz w:val="17"/>
              </w:rPr>
              <w:t>Maintenance</w:t>
            </w:r>
          </w:p>
        </w:tc>
        <w:tc>
          <w:tcPr>
            <w:tcW w:type="dxa" w:w="2541"/>
            <w:vAlign w:val="top"/>
          </w:tcPr>
          <w:p>
            <w:r>
              <w:rPr>
                <w:sz w:val="17"/>
              </w:rPr>
              <w:t>Tenant register and workspace</w:t>
            </w:r>
          </w:p>
        </w:tc>
      </w:tr>
      <w:tr>
        <w:tc>
          <w:tcPr>
            <w:tcW w:type="dxa" w:w="2541"/>
            <w:vAlign w:val="top"/>
          </w:tcPr>
          <w:p>
            <w:r>
              <w:rPr>
                <w:sz w:val="17"/>
              </w:rPr>
              <w:t>Lease</w:t>
            </w:r>
          </w:p>
        </w:tc>
        <w:tc>
          <w:tcPr>
            <w:tcW w:type="dxa" w:w="2541"/>
            <w:vAlign w:val="top"/>
          </w:tcPr>
          <w:p>
            <w:r>
              <w:rPr>
                <w:sz w:val="17"/>
              </w:rPr>
              <w:t>In progress</w:t>
            </w:r>
          </w:p>
        </w:tc>
        <w:tc>
          <w:tcPr>
            <w:tcW w:type="dxa" w:w="2541"/>
            <w:vAlign w:val="top"/>
          </w:tcPr>
          <w:p>
            <w:r>
              <w:rPr>
                <w:sz w:val="17"/>
              </w:rPr>
              <w:t>Critical</w:t>
            </w:r>
          </w:p>
        </w:tc>
        <w:tc>
          <w:tcPr>
            <w:tcW w:type="dxa" w:w="2541"/>
            <w:vAlign w:val="top"/>
          </w:tcPr>
          <w:p>
            <w:r>
              <w:rPr>
                <w:sz w:val="17"/>
              </w:rPr>
              <w:t>Agreement lifecycle and structured obligations</w:t>
            </w:r>
          </w:p>
        </w:tc>
      </w:tr>
      <w:tr>
        <w:tc>
          <w:tcPr>
            <w:tcW w:type="dxa" w:w="2541"/>
            <w:vAlign w:val="top"/>
          </w:tcPr>
          <w:p>
            <w:r>
              <w:rPr>
                <w:sz w:val="17"/>
              </w:rPr>
              <w:t>Rent / Receivables</w:t>
            </w:r>
          </w:p>
        </w:tc>
        <w:tc>
          <w:tcPr>
            <w:tcW w:type="dxa" w:w="2541"/>
            <w:vAlign w:val="top"/>
          </w:tcPr>
          <w:p>
            <w:r>
              <w:rPr>
                <w:sz w:val="17"/>
              </w:rPr>
              <w:t>Next</w:t>
            </w:r>
          </w:p>
        </w:tc>
        <w:tc>
          <w:tcPr>
            <w:tcW w:type="dxa" w:w="2541"/>
            <w:vAlign w:val="top"/>
          </w:tcPr>
          <w:p>
            <w:r>
              <w:rPr>
                <w:sz w:val="17"/>
              </w:rPr>
              <w:t>Critical</w:t>
            </w:r>
          </w:p>
        </w:tc>
        <w:tc>
          <w:tcPr>
            <w:tcW w:type="dxa" w:w="2541"/>
            <w:vAlign w:val="top"/>
          </w:tcPr>
          <w:p>
            <w:r>
              <w:rPr>
                <w:sz w:val="17"/>
              </w:rPr>
              <w:t>Schedules, receipts, arrears, statements, aging</w:t>
            </w:r>
          </w:p>
        </w:tc>
      </w:tr>
      <w:tr>
        <w:tc>
          <w:tcPr>
            <w:tcW w:type="dxa" w:w="2541"/>
            <w:vAlign w:val="top"/>
          </w:tcPr>
          <w:p>
            <w:r>
              <w:rPr>
                <w:sz w:val="17"/>
              </w:rPr>
              <w:t>Documents</w:t>
            </w:r>
          </w:p>
        </w:tc>
        <w:tc>
          <w:tcPr>
            <w:tcW w:type="dxa" w:w="2541"/>
            <w:vAlign w:val="top"/>
          </w:tcPr>
          <w:p>
            <w:r>
              <w:rPr>
                <w:sz w:val="17"/>
              </w:rPr>
              <w:t>Foundation in Lease</w:t>
            </w:r>
          </w:p>
        </w:tc>
        <w:tc>
          <w:tcPr>
            <w:tcW w:type="dxa" w:w="2541"/>
            <w:vAlign w:val="top"/>
          </w:tcPr>
          <w:p>
            <w:r>
              <w:rPr>
                <w:sz w:val="17"/>
              </w:rPr>
              <w:t>High</w:t>
            </w:r>
          </w:p>
        </w:tc>
        <w:tc>
          <w:tcPr>
            <w:tcW w:type="dxa" w:w="2541"/>
            <w:vAlign w:val="top"/>
          </w:tcPr>
          <w:p>
            <w:r>
              <w:rPr>
                <w:sz w:val="17"/>
              </w:rPr>
              <w:t>Central metadata, storage and relationships</w:t>
            </w:r>
          </w:p>
        </w:tc>
      </w:tr>
      <w:tr>
        <w:tc>
          <w:tcPr>
            <w:tcW w:type="dxa" w:w="2541"/>
            <w:vAlign w:val="top"/>
          </w:tcPr>
          <w:p>
            <w:r>
              <w:rPr>
                <w:sz w:val="17"/>
              </w:rPr>
              <w:t>Event &amp; Audit</w:t>
            </w:r>
          </w:p>
        </w:tc>
        <w:tc>
          <w:tcPr>
            <w:tcW w:type="dxa" w:w="2541"/>
            <w:vAlign w:val="top"/>
          </w:tcPr>
          <w:p>
            <w:r>
              <w:rPr>
                <w:sz w:val="17"/>
              </w:rPr>
              <w:t>Foundation in Lease</w:t>
            </w:r>
          </w:p>
        </w:tc>
        <w:tc>
          <w:tcPr>
            <w:tcW w:type="dxa" w:w="2541"/>
            <w:vAlign w:val="top"/>
          </w:tcPr>
          <w:p>
            <w:r>
              <w:rPr>
                <w:sz w:val="17"/>
              </w:rPr>
              <w:t>High</w:t>
            </w:r>
          </w:p>
        </w:tc>
        <w:tc>
          <w:tcPr>
            <w:tcW w:type="dxa" w:w="2541"/>
            <w:vAlign w:val="top"/>
          </w:tcPr>
          <w:p>
            <w:r>
              <w:rPr>
                <w:sz w:val="17"/>
              </w:rPr>
              <w:t>Shared timelines and traceability</w:t>
            </w:r>
          </w:p>
        </w:tc>
      </w:tr>
      <w:tr>
        <w:tc>
          <w:tcPr>
            <w:tcW w:type="dxa" w:w="2541"/>
            <w:vAlign w:val="top"/>
          </w:tcPr>
          <w:p>
            <w:r>
              <w:rPr>
                <w:sz w:val="17"/>
              </w:rPr>
              <w:t>Notification</w:t>
            </w:r>
          </w:p>
        </w:tc>
        <w:tc>
          <w:tcPr>
            <w:tcW w:type="dxa" w:w="2541"/>
            <w:vAlign w:val="top"/>
          </w:tcPr>
          <w:p>
            <w:r>
              <w:rPr>
                <w:sz w:val="17"/>
              </w:rPr>
              <w:t>Planned</w:t>
            </w:r>
          </w:p>
        </w:tc>
        <w:tc>
          <w:tcPr>
            <w:tcW w:type="dxa" w:w="2541"/>
            <w:vAlign w:val="top"/>
          </w:tcPr>
          <w:p>
            <w:r>
              <w:rPr>
                <w:sz w:val="17"/>
              </w:rPr>
              <w:t>High</w:t>
            </w:r>
          </w:p>
        </w:tc>
        <w:tc>
          <w:tcPr>
            <w:tcW w:type="dxa" w:w="2541"/>
            <w:vAlign w:val="top"/>
          </w:tcPr>
          <w:p>
            <w:r>
              <w:rPr>
                <w:sz w:val="17"/>
              </w:rPr>
              <w:t>Rules, reminders and escalation</w:t>
            </w:r>
          </w:p>
        </w:tc>
      </w:tr>
      <w:tr>
        <w:tc>
          <w:tcPr>
            <w:tcW w:type="dxa" w:w="2541"/>
            <w:vAlign w:val="top"/>
          </w:tcPr>
          <w:p>
            <w:r>
              <w:rPr>
                <w:sz w:val="17"/>
              </w:rPr>
              <w:t>Finance &amp; Invoicing</w:t>
            </w:r>
          </w:p>
        </w:tc>
        <w:tc>
          <w:tcPr>
            <w:tcW w:type="dxa" w:w="2541"/>
            <w:vAlign w:val="top"/>
          </w:tcPr>
          <w:p>
            <w:r>
              <w:rPr>
                <w:sz w:val="17"/>
              </w:rPr>
              <w:t>Planned</w:t>
            </w:r>
          </w:p>
        </w:tc>
        <w:tc>
          <w:tcPr>
            <w:tcW w:type="dxa" w:w="2541"/>
            <w:vAlign w:val="top"/>
          </w:tcPr>
          <w:p>
            <w:r>
              <w:rPr>
                <w:sz w:val="17"/>
              </w:rPr>
              <w:t>Critical</w:t>
            </w:r>
          </w:p>
        </w:tc>
        <w:tc>
          <w:tcPr>
            <w:tcW w:type="dxa" w:w="2541"/>
            <w:vAlign w:val="top"/>
          </w:tcPr>
          <w:p>
            <w:r>
              <w:rPr>
                <w:sz w:val="17"/>
              </w:rPr>
              <w:t>Invoices, payments, ledgers and reporting</w:t>
            </w:r>
          </w:p>
        </w:tc>
      </w:tr>
      <w:tr>
        <w:tc>
          <w:tcPr>
            <w:tcW w:type="dxa" w:w="2541"/>
            <w:vAlign w:val="top"/>
          </w:tcPr>
          <w:p>
            <w:r>
              <w:rPr>
                <w:sz w:val="17"/>
              </w:rPr>
              <w:t>Contractor</w:t>
            </w:r>
          </w:p>
        </w:tc>
        <w:tc>
          <w:tcPr>
            <w:tcW w:type="dxa" w:w="2541"/>
            <w:vAlign w:val="top"/>
          </w:tcPr>
          <w:p>
            <w:r>
              <w:rPr>
                <w:sz w:val="17"/>
              </w:rPr>
              <w:t>Existing / future upgrade</w:t>
            </w:r>
          </w:p>
        </w:tc>
        <w:tc>
          <w:tcPr>
            <w:tcW w:type="dxa" w:w="2541"/>
            <w:vAlign w:val="top"/>
          </w:tcPr>
          <w:p>
            <w:r>
              <w:rPr>
                <w:sz w:val="17"/>
              </w:rPr>
              <w:t>Medium</w:t>
            </w:r>
          </w:p>
        </w:tc>
        <w:tc>
          <w:tcPr>
            <w:tcW w:type="dxa" w:w="2541"/>
            <w:vAlign w:val="top"/>
          </w:tcPr>
          <w:p>
            <w:r>
              <w:rPr>
                <w:sz w:val="17"/>
              </w:rPr>
              <w:t>Supplier and contractor lifecycle</w:t>
            </w:r>
          </w:p>
        </w:tc>
      </w:tr>
      <w:tr>
        <w:tc>
          <w:tcPr>
            <w:tcW w:type="dxa" w:w="2541"/>
            <w:vAlign w:val="top"/>
          </w:tcPr>
          <w:p>
            <w:r>
              <w:rPr>
                <w:sz w:val="17"/>
              </w:rPr>
              <w:t>Project</w:t>
            </w:r>
          </w:p>
        </w:tc>
        <w:tc>
          <w:tcPr>
            <w:tcW w:type="dxa" w:w="2541"/>
            <w:vAlign w:val="top"/>
          </w:tcPr>
          <w:p>
            <w:r>
              <w:rPr>
                <w:sz w:val="17"/>
              </w:rPr>
              <w:t>Existing / future upgrade</w:t>
            </w:r>
          </w:p>
        </w:tc>
        <w:tc>
          <w:tcPr>
            <w:tcW w:type="dxa" w:w="2541"/>
            <w:vAlign w:val="top"/>
          </w:tcPr>
          <w:p>
            <w:r>
              <w:rPr>
                <w:sz w:val="17"/>
              </w:rPr>
              <w:t>Medium</w:t>
            </w:r>
          </w:p>
        </w:tc>
        <w:tc>
          <w:tcPr>
            <w:tcW w:type="dxa" w:w="2541"/>
            <w:vAlign w:val="top"/>
          </w:tcPr>
          <w:p>
            <w:r>
              <w:rPr>
                <w:sz w:val="17"/>
              </w:rPr>
              <w:t>Projects, milestones and approvals</w:t>
            </w:r>
          </w:p>
        </w:tc>
      </w:tr>
      <w:tr>
        <w:tc>
          <w:tcPr>
            <w:tcW w:type="dxa" w:w="2541"/>
            <w:vAlign w:val="top"/>
          </w:tcPr>
          <w:p>
            <w:r>
              <w:rPr>
                <w:sz w:val="17"/>
              </w:rPr>
              <w:t>Fleet</w:t>
            </w:r>
          </w:p>
        </w:tc>
        <w:tc>
          <w:tcPr>
            <w:tcW w:type="dxa" w:w="2541"/>
            <w:vAlign w:val="top"/>
          </w:tcPr>
          <w:p>
            <w:r>
              <w:rPr>
                <w:sz w:val="17"/>
              </w:rPr>
              <w:t>Planned</w:t>
            </w:r>
          </w:p>
        </w:tc>
        <w:tc>
          <w:tcPr>
            <w:tcW w:type="dxa" w:w="2541"/>
            <w:vAlign w:val="top"/>
          </w:tcPr>
          <w:p>
            <w:r>
              <w:rPr>
                <w:sz w:val="17"/>
              </w:rPr>
              <w:t>Medium</w:t>
            </w:r>
          </w:p>
        </w:tc>
        <w:tc>
          <w:tcPr>
            <w:tcW w:type="dxa" w:w="2541"/>
            <w:vAlign w:val="top"/>
          </w:tcPr>
          <w:p>
            <w:r>
              <w:rPr>
                <w:sz w:val="17"/>
              </w:rPr>
              <w:t>Vehicles, assignments and costs</w:t>
            </w:r>
          </w:p>
        </w:tc>
      </w:tr>
      <w:tr>
        <w:tc>
          <w:tcPr>
            <w:tcW w:type="dxa" w:w="2541"/>
            <w:vAlign w:val="top"/>
          </w:tcPr>
          <w:p>
            <w:r>
              <w:rPr>
                <w:sz w:val="17"/>
              </w:rPr>
              <w:t>Analytics</w:t>
            </w:r>
          </w:p>
        </w:tc>
        <w:tc>
          <w:tcPr>
            <w:tcW w:type="dxa" w:w="2541"/>
            <w:vAlign w:val="top"/>
          </w:tcPr>
          <w:p>
            <w:r>
              <w:rPr>
                <w:sz w:val="17"/>
              </w:rPr>
              <w:t>Planned</w:t>
            </w:r>
          </w:p>
        </w:tc>
        <w:tc>
          <w:tcPr>
            <w:tcW w:type="dxa" w:w="2541"/>
            <w:vAlign w:val="top"/>
          </w:tcPr>
          <w:p>
            <w:r>
              <w:rPr>
                <w:sz w:val="17"/>
              </w:rPr>
              <w:t>High</w:t>
            </w:r>
          </w:p>
        </w:tc>
        <w:tc>
          <w:tcPr>
            <w:tcW w:type="dxa" w:w="2541"/>
            <w:vAlign w:val="top"/>
          </w:tcPr>
          <w:p>
            <w:r>
              <w:rPr>
                <w:sz w:val="17"/>
              </w:rPr>
              <w:t>Operational and executive intelligence</w:t>
            </w:r>
          </w:p>
        </w:tc>
      </w:tr>
      <w:tr>
        <w:tc>
          <w:tcPr>
            <w:tcW w:type="dxa" w:w="2541"/>
            <w:vAlign w:val="top"/>
          </w:tcPr>
          <w:p>
            <w:r>
              <w:rPr>
                <w:sz w:val="17"/>
              </w:rPr>
              <w:t>AI Assistant</w:t>
            </w:r>
          </w:p>
        </w:tc>
        <w:tc>
          <w:tcPr>
            <w:tcW w:type="dxa" w:w="2541"/>
            <w:vAlign w:val="top"/>
          </w:tcPr>
          <w:p>
            <w:r>
              <w:rPr>
                <w:sz w:val="17"/>
              </w:rPr>
              <w:t>Strategic</w:t>
            </w:r>
          </w:p>
        </w:tc>
        <w:tc>
          <w:tcPr>
            <w:tcW w:type="dxa" w:w="2541"/>
            <w:vAlign w:val="top"/>
          </w:tcPr>
          <w:p>
            <w:r>
              <w:rPr>
                <w:sz w:val="17"/>
              </w:rPr>
              <w:t>Strategic</w:t>
            </w:r>
          </w:p>
        </w:tc>
        <w:tc>
          <w:tcPr>
            <w:tcW w:type="dxa" w:w="2541"/>
            <w:vAlign w:val="top"/>
          </w:tcPr>
          <w:p>
            <w:r>
              <w:rPr>
                <w:sz w:val="17"/>
              </w:rPr>
              <w:t>Natural-language insights and automation</w:t>
            </w:r>
          </w:p>
        </w:tc>
      </w:tr>
    </w:tbl>
    <w:p>
      <w:pPr>
        <w:pStyle w:val="Heading1"/>
      </w:pPr>
      <w:r>
        <w:t>3. Current sprint — Engine 6: Lease Engine</w:t>
      </w:r>
    </w:p>
    <w:tbl>
      <w:tblPr>
        <w:tblStyle w:val="TableGrid"/>
        <w:tblW w:type="auto" w:w="0"/>
        <w:jc w:val="center"/>
        <w:tblLook w:firstColumn="1" w:firstRow="1" w:lastColumn="0" w:lastRow="0" w:noHBand="0" w:noVBand="1" w:val="04A0"/>
      </w:tblPr>
      <w:tblGrid>
        <w:gridCol w:w="2033"/>
        <w:gridCol w:w="2033"/>
        <w:gridCol w:w="2033"/>
        <w:gridCol w:w="2033"/>
        <w:gridCol w:w="2033"/>
      </w:tblGrid>
      <w:tr>
        <w:tc>
          <w:tcPr>
            <w:tcW w:type="dxa" w:w="2033"/>
            <w:shd w:fill="B8892F"/>
            <w:vAlign w:val="center"/>
          </w:tcPr>
          <w:p>
            <w:r>
              <w:rPr>
                <w:b/>
                <w:color w:val="FFFFFF"/>
                <w:sz w:val="17"/>
              </w:rPr>
              <w:t>ID</w:t>
            </w:r>
          </w:p>
        </w:tc>
        <w:tc>
          <w:tcPr>
            <w:tcW w:type="dxa" w:w="2033"/>
            <w:shd w:fill="B8892F"/>
            <w:vAlign w:val="center"/>
          </w:tcPr>
          <w:p>
            <w:r>
              <w:rPr>
                <w:b/>
                <w:color w:val="FFFFFF"/>
                <w:sz w:val="17"/>
              </w:rPr>
              <w:t>Backlog Item</w:t>
            </w:r>
          </w:p>
        </w:tc>
        <w:tc>
          <w:tcPr>
            <w:tcW w:type="dxa" w:w="2033"/>
            <w:shd w:fill="B8892F"/>
            <w:vAlign w:val="center"/>
          </w:tcPr>
          <w:p>
            <w:r>
              <w:rPr>
                <w:b/>
                <w:color w:val="FFFFFF"/>
                <w:sz w:val="17"/>
              </w:rPr>
              <w:t>Status</w:t>
            </w:r>
          </w:p>
        </w:tc>
        <w:tc>
          <w:tcPr>
            <w:tcW w:type="dxa" w:w="2033"/>
            <w:shd w:fill="B8892F"/>
            <w:vAlign w:val="center"/>
          </w:tcPr>
          <w:p>
            <w:r>
              <w:rPr>
                <w:b/>
                <w:color w:val="FFFFFF"/>
                <w:sz w:val="17"/>
              </w:rPr>
              <w:t>Priority</w:t>
            </w:r>
          </w:p>
        </w:tc>
        <w:tc>
          <w:tcPr>
            <w:tcW w:type="dxa" w:w="2033"/>
            <w:shd w:fill="B8892F"/>
            <w:vAlign w:val="center"/>
          </w:tcPr>
          <w:p>
            <w:r>
              <w:rPr>
                <w:b/>
                <w:color w:val="FFFFFF"/>
                <w:sz w:val="17"/>
              </w:rPr>
              <w:t>Acceptance Outcome</w:t>
            </w:r>
          </w:p>
        </w:tc>
      </w:tr>
      <w:tr>
        <w:tc>
          <w:tcPr>
            <w:tcW w:type="dxa" w:w="2033"/>
            <w:vAlign w:val="top"/>
          </w:tcPr>
          <w:p>
            <w:r>
              <w:rPr>
                <w:sz w:val="17"/>
              </w:rPr>
              <w:t>LSE-001</w:t>
            </w:r>
          </w:p>
        </w:tc>
        <w:tc>
          <w:tcPr>
            <w:tcW w:type="dxa" w:w="2033"/>
            <w:vAlign w:val="top"/>
          </w:tcPr>
          <w:p>
            <w:r>
              <w:rPr>
                <w:sz w:val="17"/>
              </w:rPr>
              <w:t>Repair agreement generation</w:t>
            </w:r>
          </w:p>
        </w:tc>
        <w:tc>
          <w:tcPr>
            <w:tcW w:type="dxa" w:w="2033"/>
            <w:vAlign w:val="top"/>
          </w:tcPr>
          <w:p>
            <w:r>
              <w:rPr>
                <w:sz w:val="17"/>
              </w:rPr>
              <w:t>Done in build</w:t>
            </w:r>
          </w:p>
        </w:tc>
        <w:tc>
          <w:tcPr>
            <w:tcW w:type="dxa" w:w="2033"/>
            <w:vAlign w:val="top"/>
          </w:tcPr>
          <w:p>
            <w:r>
              <w:rPr>
                <w:sz w:val="17"/>
              </w:rPr>
              <w:t>Critical</w:t>
            </w:r>
          </w:p>
        </w:tc>
        <w:tc>
          <w:tcPr>
            <w:tcW w:type="dxa" w:w="2033"/>
            <w:vAlign w:val="top"/>
          </w:tcPr>
          <w:p>
            <w:r>
              <w:rPr>
                <w:sz w:val="17"/>
              </w:rPr>
              <w:t>Printable, entity-aware agreement output</w:t>
            </w:r>
          </w:p>
        </w:tc>
      </w:tr>
      <w:tr>
        <w:tc>
          <w:tcPr>
            <w:tcW w:type="dxa" w:w="2033"/>
            <w:vAlign w:val="top"/>
          </w:tcPr>
          <w:p>
            <w:r>
              <w:rPr>
                <w:sz w:val="17"/>
              </w:rPr>
              <w:t>LSE-002</w:t>
            </w:r>
          </w:p>
        </w:tc>
        <w:tc>
          <w:tcPr>
            <w:tcW w:type="dxa" w:w="2033"/>
            <w:vAlign w:val="top"/>
          </w:tcPr>
          <w:p>
            <w:r>
              <w:rPr>
                <w:sz w:val="17"/>
              </w:rPr>
              <w:t>Lifecycle actions</w:t>
            </w:r>
          </w:p>
        </w:tc>
        <w:tc>
          <w:tcPr>
            <w:tcW w:type="dxa" w:w="2033"/>
            <w:vAlign w:val="top"/>
          </w:tcPr>
          <w:p>
            <w:r>
              <w:rPr>
                <w:sz w:val="17"/>
              </w:rPr>
              <w:t>Done in build</w:t>
            </w:r>
          </w:p>
        </w:tc>
        <w:tc>
          <w:tcPr>
            <w:tcW w:type="dxa" w:w="2033"/>
            <w:vAlign w:val="top"/>
          </w:tcPr>
          <w:p>
            <w:r>
              <w:rPr>
                <w:sz w:val="17"/>
              </w:rPr>
              <w:t>Critical</w:t>
            </w:r>
          </w:p>
        </w:tc>
        <w:tc>
          <w:tcPr>
            <w:tcW w:type="dxa" w:w="2033"/>
            <w:vAlign w:val="top"/>
          </w:tcPr>
          <w:p>
            <w:r>
              <w:rPr>
                <w:sz w:val="17"/>
              </w:rPr>
              <w:t>Activate, renew, terminate and archive</w:t>
            </w:r>
          </w:p>
        </w:tc>
      </w:tr>
      <w:tr>
        <w:tc>
          <w:tcPr>
            <w:tcW w:type="dxa" w:w="2033"/>
            <w:vAlign w:val="top"/>
          </w:tcPr>
          <w:p>
            <w:r>
              <w:rPr>
                <w:sz w:val="17"/>
              </w:rPr>
              <w:t>LSE-003</w:t>
            </w:r>
          </w:p>
        </w:tc>
        <w:tc>
          <w:tcPr>
            <w:tcW w:type="dxa" w:w="2033"/>
            <w:vAlign w:val="top"/>
          </w:tcPr>
          <w:p>
            <w:r>
              <w:rPr>
                <w:sz w:val="17"/>
              </w:rPr>
              <w:t>Lease event timeline</w:t>
            </w:r>
          </w:p>
        </w:tc>
        <w:tc>
          <w:tcPr>
            <w:tcW w:type="dxa" w:w="2033"/>
            <w:vAlign w:val="top"/>
          </w:tcPr>
          <w:p>
            <w:r>
              <w:rPr>
                <w:sz w:val="17"/>
              </w:rPr>
              <w:t>Done in build</w:t>
            </w:r>
          </w:p>
        </w:tc>
        <w:tc>
          <w:tcPr>
            <w:tcW w:type="dxa" w:w="2033"/>
            <w:vAlign w:val="top"/>
          </w:tcPr>
          <w:p>
            <w:r>
              <w:rPr>
                <w:sz w:val="17"/>
              </w:rPr>
              <w:t>High</w:t>
            </w:r>
          </w:p>
        </w:tc>
        <w:tc>
          <w:tcPr>
            <w:tcW w:type="dxa" w:w="2033"/>
            <w:vAlign w:val="top"/>
          </w:tcPr>
          <w:p>
            <w:r>
              <w:rPr>
                <w:sz w:val="17"/>
              </w:rPr>
              <w:t>Auditable event history</w:t>
            </w:r>
          </w:p>
        </w:tc>
      </w:tr>
      <w:tr>
        <w:tc>
          <w:tcPr>
            <w:tcW w:type="dxa" w:w="2033"/>
            <w:vAlign w:val="top"/>
          </w:tcPr>
          <w:p>
            <w:r>
              <w:rPr>
                <w:sz w:val="17"/>
              </w:rPr>
              <w:t>LSE-004</w:t>
            </w:r>
          </w:p>
        </w:tc>
        <w:tc>
          <w:tcPr>
            <w:tcW w:type="dxa" w:w="2033"/>
            <w:vAlign w:val="top"/>
          </w:tcPr>
          <w:p>
            <w:r>
              <w:rPr>
                <w:sz w:val="17"/>
              </w:rPr>
              <w:t>Document centre</w:t>
            </w:r>
          </w:p>
        </w:tc>
        <w:tc>
          <w:tcPr>
            <w:tcW w:type="dxa" w:w="2033"/>
            <w:vAlign w:val="top"/>
          </w:tcPr>
          <w:p>
            <w:r>
              <w:rPr>
                <w:sz w:val="17"/>
              </w:rPr>
              <w:t>Done in build</w:t>
            </w:r>
          </w:p>
        </w:tc>
        <w:tc>
          <w:tcPr>
            <w:tcW w:type="dxa" w:w="2033"/>
            <w:vAlign w:val="top"/>
          </w:tcPr>
          <w:p>
            <w:r>
              <w:rPr>
                <w:sz w:val="17"/>
              </w:rPr>
              <w:t>High</w:t>
            </w:r>
          </w:p>
        </w:tc>
        <w:tc>
          <w:tcPr>
            <w:tcW w:type="dxa" w:w="2033"/>
            <w:vAlign w:val="top"/>
          </w:tcPr>
          <w:p>
            <w:r>
              <w:rPr>
                <w:sz w:val="17"/>
              </w:rPr>
              <w:t>Upload and open linked lease files</w:t>
            </w:r>
          </w:p>
        </w:tc>
      </w:tr>
      <w:tr>
        <w:tc>
          <w:tcPr>
            <w:tcW w:type="dxa" w:w="2033"/>
            <w:vAlign w:val="top"/>
          </w:tcPr>
          <w:p>
            <w:r>
              <w:rPr>
                <w:sz w:val="17"/>
              </w:rPr>
              <w:t>LSE-005</w:t>
            </w:r>
          </w:p>
        </w:tc>
        <w:tc>
          <w:tcPr>
            <w:tcW w:type="dxa" w:w="2033"/>
            <w:vAlign w:val="top"/>
          </w:tcPr>
          <w:p>
            <w:r>
              <w:rPr>
                <w:sz w:val="17"/>
              </w:rPr>
              <w:t>Structured obligations</w:t>
            </w:r>
          </w:p>
        </w:tc>
        <w:tc>
          <w:tcPr>
            <w:tcW w:type="dxa" w:w="2033"/>
            <w:vAlign w:val="top"/>
          </w:tcPr>
          <w:p>
            <w:r>
              <w:rPr>
                <w:sz w:val="17"/>
              </w:rPr>
              <w:t>Done in build</w:t>
            </w:r>
          </w:p>
        </w:tc>
        <w:tc>
          <w:tcPr>
            <w:tcW w:type="dxa" w:w="2033"/>
            <w:vAlign w:val="top"/>
          </w:tcPr>
          <w:p>
            <w:r>
              <w:rPr>
                <w:sz w:val="17"/>
              </w:rPr>
              <w:t>High</w:t>
            </w:r>
          </w:p>
        </w:tc>
        <w:tc>
          <w:tcPr>
            <w:tcW w:type="dxa" w:w="2033"/>
            <w:vAlign w:val="top"/>
          </w:tcPr>
          <w:p>
            <w:r>
              <w:rPr>
                <w:sz w:val="17"/>
              </w:rPr>
              <w:t>Responsible party, due date and status</w:t>
            </w:r>
          </w:p>
        </w:tc>
      </w:tr>
      <w:tr>
        <w:tc>
          <w:tcPr>
            <w:tcW w:type="dxa" w:w="2033"/>
            <w:vAlign w:val="top"/>
          </w:tcPr>
          <w:p>
            <w:r>
              <w:rPr>
                <w:sz w:val="17"/>
              </w:rPr>
              <w:t>LSE-006</w:t>
            </w:r>
          </w:p>
        </w:tc>
        <w:tc>
          <w:tcPr>
            <w:tcW w:type="dxa" w:w="2033"/>
            <w:vAlign w:val="top"/>
          </w:tcPr>
          <w:p>
            <w:r>
              <w:rPr>
                <w:sz w:val="17"/>
              </w:rPr>
              <w:t>Notices</w:t>
            </w:r>
          </w:p>
        </w:tc>
        <w:tc>
          <w:tcPr>
            <w:tcW w:type="dxa" w:w="2033"/>
            <w:vAlign w:val="top"/>
          </w:tcPr>
          <w:p>
            <w:r>
              <w:rPr>
                <w:sz w:val="17"/>
              </w:rPr>
              <w:t>Done in build</w:t>
            </w:r>
          </w:p>
        </w:tc>
        <w:tc>
          <w:tcPr>
            <w:tcW w:type="dxa" w:w="2033"/>
            <w:vAlign w:val="top"/>
          </w:tcPr>
          <w:p>
            <w:r>
              <w:rPr>
                <w:sz w:val="17"/>
              </w:rPr>
              <w:t>High</w:t>
            </w:r>
          </w:p>
        </w:tc>
        <w:tc>
          <w:tcPr>
            <w:tcW w:type="dxa" w:w="2033"/>
            <w:vAlign w:val="top"/>
          </w:tcPr>
          <w:p>
            <w:r>
              <w:rPr>
                <w:sz w:val="17"/>
              </w:rPr>
              <w:t>Draft, issue and record formal notices</w:t>
            </w:r>
          </w:p>
        </w:tc>
      </w:tr>
      <w:tr>
        <w:tc>
          <w:tcPr>
            <w:tcW w:type="dxa" w:w="2033"/>
            <w:vAlign w:val="top"/>
          </w:tcPr>
          <w:p>
            <w:r>
              <w:rPr>
                <w:sz w:val="17"/>
              </w:rPr>
              <w:t>LSE-007</w:t>
            </w:r>
          </w:p>
        </w:tc>
        <w:tc>
          <w:tcPr>
            <w:tcW w:type="dxa" w:w="2033"/>
            <w:vAlign w:val="top"/>
          </w:tcPr>
          <w:p>
            <w:r>
              <w:rPr>
                <w:sz w:val="17"/>
              </w:rPr>
              <w:t>Rent schedule integration</w:t>
            </w:r>
          </w:p>
        </w:tc>
        <w:tc>
          <w:tcPr>
            <w:tcW w:type="dxa" w:w="2033"/>
            <w:vAlign w:val="top"/>
          </w:tcPr>
          <w:p>
            <w:r>
              <w:rPr>
                <w:sz w:val="17"/>
              </w:rPr>
              <w:t>Existing / retained</w:t>
            </w:r>
          </w:p>
        </w:tc>
        <w:tc>
          <w:tcPr>
            <w:tcW w:type="dxa" w:w="2033"/>
            <w:vAlign w:val="top"/>
          </w:tcPr>
          <w:p>
            <w:r>
              <w:rPr>
                <w:sz w:val="17"/>
              </w:rPr>
              <w:t>Critical</w:t>
            </w:r>
          </w:p>
        </w:tc>
        <w:tc>
          <w:tcPr>
            <w:tcW w:type="dxa" w:w="2033"/>
            <w:vAlign w:val="top"/>
          </w:tcPr>
          <w:p>
            <w:r>
              <w:rPr>
                <w:sz w:val="17"/>
              </w:rPr>
              <w:t>Generate missing monthly receivables</w:t>
            </w:r>
          </w:p>
        </w:tc>
      </w:tr>
      <w:tr>
        <w:tc>
          <w:tcPr>
            <w:tcW w:type="dxa" w:w="2033"/>
            <w:vAlign w:val="top"/>
          </w:tcPr>
          <w:p>
            <w:r>
              <w:rPr>
                <w:sz w:val="17"/>
              </w:rPr>
              <w:t>LSE-008</w:t>
            </w:r>
          </w:p>
        </w:tc>
        <w:tc>
          <w:tcPr>
            <w:tcW w:type="dxa" w:w="2033"/>
            <w:vAlign w:val="top"/>
          </w:tcPr>
          <w:p>
            <w:r>
              <w:rPr>
                <w:sz w:val="17"/>
              </w:rPr>
              <w:t>Digital signatures</w:t>
            </w:r>
          </w:p>
        </w:tc>
        <w:tc>
          <w:tcPr>
            <w:tcW w:type="dxa" w:w="2033"/>
            <w:vAlign w:val="top"/>
          </w:tcPr>
          <w:p>
            <w:r>
              <w:rPr>
                <w:sz w:val="17"/>
              </w:rPr>
              <w:t>Future</w:t>
            </w:r>
          </w:p>
        </w:tc>
        <w:tc>
          <w:tcPr>
            <w:tcW w:type="dxa" w:w="2033"/>
            <w:vAlign w:val="top"/>
          </w:tcPr>
          <w:p>
            <w:r>
              <w:rPr>
                <w:sz w:val="17"/>
              </w:rPr>
              <w:t>Medium</w:t>
            </w:r>
          </w:p>
        </w:tc>
        <w:tc>
          <w:tcPr>
            <w:tcW w:type="dxa" w:w="2033"/>
            <w:vAlign w:val="top"/>
          </w:tcPr>
          <w:p>
            <w:r>
              <w:rPr>
                <w:sz w:val="17"/>
              </w:rPr>
              <w:t>Signature requests and status</w:t>
            </w:r>
          </w:p>
        </w:tc>
      </w:tr>
      <w:tr>
        <w:tc>
          <w:tcPr>
            <w:tcW w:type="dxa" w:w="2033"/>
            <w:vAlign w:val="top"/>
          </w:tcPr>
          <w:p>
            <w:r>
              <w:rPr>
                <w:sz w:val="17"/>
              </w:rPr>
              <w:t>LSE-009</w:t>
            </w:r>
          </w:p>
        </w:tc>
        <w:tc>
          <w:tcPr>
            <w:tcW w:type="dxa" w:w="2033"/>
            <w:vAlign w:val="top"/>
          </w:tcPr>
          <w:p>
            <w:r>
              <w:rPr>
                <w:sz w:val="17"/>
              </w:rPr>
              <w:t>Template library</w:t>
            </w:r>
          </w:p>
        </w:tc>
        <w:tc>
          <w:tcPr>
            <w:tcW w:type="dxa" w:w="2033"/>
            <w:vAlign w:val="top"/>
          </w:tcPr>
          <w:p>
            <w:r>
              <w:rPr>
                <w:sz w:val="17"/>
              </w:rPr>
              <w:t>Future</w:t>
            </w:r>
          </w:p>
        </w:tc>
        <w:tc>
          <w:tcPr>
            <w:tcW w:type="dxa" w:w="2033"/>
            <w:vAlign w:val="top"/>
          </w:tcPr>
          <w:p>
            <w:r>
              <w:rPr>
                <w:sz w:val="17"/>
              </w:rPr>
              <w:t>High</w:t>
            </w:r>
          </w:p>
        </w:tc>
        <w:tc>
          <w:tcPr>
            <w:tcW w:type="dxa" w:w="2033"/>
            <w:vAlign w:val="top"/>
          </w:tcPr>
          <w:p>
            <w:r>
              <w:rPr>
                <w:sz w:val="17"/>
              </w:rPr>
              <w:t>Residential, commercial, land and office templates</w:t>
            </w:r>
          </w:p>
        </w:tc>
      </w:tr>
      <w:tr>
        <w:tc>
          <w:tcPr>
            <w:tcW w:type="dxa" w:w="2033"/>
            <w:vAlign w:val="top"/>
          </w:tcPr>
          <w:p>
            <w:r>
              <w:rPr>
                <w:sz w:val="17"/>
              </w:rPr>
              <w:t>LSE-010</w:t>
            </w:r>
          </w:p>
        </w:tc>
        <w:tc>
          <w:tcPr>
            <w:tcW w:type="dxa" w:w="2033"/>
            <w:vAlign w:val="top"/>
          </w:tcPr>
          <w:p>
            <w:r>
              <w:rPr>
                <w:sz w:val="17"/>
              </w:rPr>
              <w:t>AI clause and risk review</w:t>
            </w:r>
          </w:p>
        </w:tc>
        <w:tc>
          <w:tcPr>
            <w:tcW w:type="dxa" w:w="2033"/>
            <w:vAlign w:val="top"/>
          </w:tcPr>
          <w:p>
            <w:r>
              <w:rPr>
                <w:sz w:val="17"/>
              </w:rPr>
              <w:t>Future</w:t>
            </w:r>
          </w:p>
        </w:tc>
        <w:tc>
          <w:tcPr>
            <w:tcW w:type="dxa" w:w="2033"/>
            <w:vAlign w:val="top"/>
          </w:tcPr>
          <w:p>
            <w:r>
              <w:rPr>
                <w:sz w:val="17"/>
              </w:rPr>
              <w:t>Strategic</w:t>
            </w:r>
          </w:p>
        </w:tc>
        <w:tc>
          <w:tcPr>
            <w:tcW w:type="dxa" w:w="2033"/>
            <w:vAlign w:val="top"/>
          </w:tcPr>
          <w:p>
            <w:r>
              <w:rPr>
                <w:sz w:val="17"/>
              </w:rPr>
              <w:t>Structured legal-risk assistance</w:t>
            </w:r>
          </w:p>
        </w:tc>
      </w:tr>
    </w:tbl>
    <w:p>
      <w:pPr>
        <w:pStyle w:val="Heading1"/>
      </w:pPr>
      <w:r>
        <w:t>4. Next sprint — Rent Engine</w:t>
      </w:r>
    </w:p>
    <w:p>
      <w:pPr>
        <w:pStyle w:val="ListBullet"/>
      </w:pPr>
      <w:r>
        <w:t>Receipt generation and numbering</w:t>
      </w:r>
    </w:p>
    <w:p>
      <w:pPr>
        <w:pStyle w:val="ListBullet"/>
      </w:pPr>
      <w:r>
        <w:t>Tenant statements and balance brought forward</w:t>
      </w:r>
    </w:p>
    <w:p>
      <w:pPr>
        <w:pStyle w:val="ListBullet"/>
      </w:pPr>
      <w:r>
        <w:t>Arrears workflow and reminders</w:t>
      </w:r>
    </w:p>
    <w:p>
      <w:pPr>
        <w:pStyle w:val="ListBullet"/>
      </w:pPr>
      <w:r>
        <w:t>Aging buckets: current, 1–30, 31–60, 61–90, 90+ days</w:t>
      </w:r>
    </w:p>
    <w:p>
      <w:pPr>
        <w:pStyle w:val="ListBullet"/>
      </w:pPr>
      <w:r>
        <w:t>Payment allocation and partial payments</w:t>
      </w:r>
    </w:p>
    <w:p>
      <w:pPr>
        <w:pStyle w:val="ListBullet"/>
      </w:pPr>
      <w:r>
        <w:t>Reconciliation and reversals with audit trail</w:t>
      </w:r>
    </w:p>
    <w:p>
      <w:pPr>
        <w:pStyle w:val="ListBullet"/>
      </w:pPr>
      <w:r>
        <w:t>Entity-aware bank, cash, EcoCash, ZIPIT, transfer and POS methods</w:t>
      </w:r>
    </w:p>
    <w:p>
      <w:pPr>
        <w:pStyle w:val="Heading1"/>
      </w:pPr>
      <w:r>
        <w:t>5. Entity and Finance sequence</w:t>
      </w:r>
    </w:p>
    <w:p>
      <w:r>
        <w:t>Entity Engine follows the Rent Engine because invoices, receipts, leases and reports must inherit the correct legal entity, branding, numbering and banking details. Finance and Invoicing will then consume trusted Lease, Rent and Entity data rather than duplicate it.</w:t>
      </w:r>
    </w:p>
    <w:p>
      <w:pPr>
        <w:pStyle w:val="Heading1"/>
      </w:pPr>
      <w:r>
        <w:t>6. Technical debt register</w:t>
      </w:r>
    </w:p>
    <w:tbl>
      <w:tblPr>
        <w:tblStyle w:val="TableGrid"/>
        <w:tblW w:type="auto" w:w="0"/>
        <w:jc w:val="center"/>
        <w:tblLook w:firstColumn="1" w:firstRow="1" w:lastColumn="0" w:lastRow="0" w:noHBand="0" w:noVBand="1" w:val="04A0"/>
      </w:tblPr>
      <w:tblGrid>
        <w:gridCol w:w="3389"/>
        <w:gridCol w:w="3389"/>
        <w:gridCol w:w="3389"/>
      </w:tblGrid>
      <w:tr>
        <w:tc>
          <w:tcPr>
            <w:tcW w:type="dxa" w:w="3389"/>
            <w:shd w:fill="B8892F"/>
            <w:vAlign w:val="center"/>
          </w:tcPr>
          <w:p>
            <w:r>
              <w:rPr>
                <w:b/>
                <w:color w:val="FFFFFF"/>
                <w:sz w:val="17"/>
              </w:rPr>
              <w:t>Item</w:t>
            </w:r>
          </w:p>
        </w:tc>
        <w:tc>
          <w:tcPr>
            <w:tcW w:type="dxa" w:w="3389"/>
            <w:shd w:fill="B8892F"/>
            <w:vAlign w:val="center"/>
          </w:tcPr>
          <w:p>
            <w:r>
              <w:rPr>
                <w:b/>
                <w:color w:val="FFFFFF"/>
                <w:sz w:val="17"/>
              </w:rPr>
              <w:t>Risk</w:t>
            </w:r>
          </w:p>
        </w:tc>
        <w:tc>
          <w:tcPr>
            <w:tcW w:type="dxa" w:w="3389"/>
            <w:shd w:fill="B8892F"/>
            <w:vAlign w:val="center"/>
          </w:tcPr>
          <w:p>
            <w:r>
              <w:rPr>
                <w:b/>
                <w:color w:val="FFFFFF"/>
                <w:sz w:val="17"/>
              </w:rPr>
              <w:t>Required Treatment</w:t>
            </w:r>
          </w:p>
        </w:tc>
      </w:tr>
      <w:tr>
        <w:tc>
          <w:tcPr>
            <w:tcW w:type="dxa" w:w="3389"/>
            <w:vAlign w:val="top"/>
          </w:tcPr>
          <w:p>
            <w:r>
              <w:rPr>
                <w:sz w:val="17"/>
              </w:rPr>
              <w:t>Database credentials stored in config.php</w:t>
            </w:r>
          </w:p>
        </w:tc>
        <w:tc>
          <w:tcPr>
            <w:tcW w:type="dxa" w:w="3389"/>
            <w:vAlign w:val="top"/>
          </w:tcPr>
          <w:p>
            <w:r>
              <w:rPr>
                <w:sz w:val="17"/>
              </w:rPr>
              <w:t>High</w:t>
            </w:r>
          </w:p>
        </w:tc>
        <w:tc>
          <w:tcPr>
            <w:tcW w:type="dxa" w:w="3389"/>
            <w:vAlign w:val="top"/>
          </w:tcPr>
          <w:p>
            <w:r>
              <w:rPr>
                <w:sz w:val="17"/>
              </w:rPr>
              <w:t>Move secrets outside the public web root or into environment configuration.</w:t>
            </w:r>
          </w:p>
        </w:tc>
      </w:tr>
      <w:tr>
        <w:tc>
          <w:tcPr>
            <w:tcW w:type="dxa" w:w="3389"/>
            <w:vAlign w:val="top"/>
          </w:tcPr>
          <w:p>
            <w:r>
              <w:rPr>
                <w:sz w:val="17"/>
              </w:rPr>
              <w:t>Inline page CSS remains in several modules</w:t>
            </w:r>
          </w:p>
        </w:tc>
        <w:tc>
          <w:tcPr>
            <w:tcW w:type="dxa" w:w="3389"/>
            <w:vAlign w:val="top"/>
          </w:tcPr>
          <w:p>
            <w:r>
              <w:rPr>
                <w:sz w:val="17"/>
              </w:rPr>
              <w:t>Medium</w:t>
            </w:r>
          </w:p>
        </w:tc>
        <w:tc>
          <w:tcPr>
            <w:tcW w:type="dxa" w:w="3389"/>
            <w:vAlign w:val="top"/>
          </w:tcPr>
          <w:p>
            <w:r>
              <w:rPr>
                <w:sz w:val="17"/>
              </w:rPr>
              <w:t>Extract gradually during module sprints; do not perform another global rewrite.</w:t>
            </w:r>
          </w:p>
        </w:tc>
      </w:tr>
      <w:tr>
        <w:tc>
          <w:tcPr>
            <w:tcW w:type="dxa" w:w="3389"/>
            <w:vAlign w:val="top"/>
          </w:tcPr>
          <w:p>
            <w:r>
              <w:rPr>
                <w:sz w:val="17"/>
              </w:rPr>
              <w:t>Direct GET destructive actions in older pages</w:t>
            </w:r>
          </w:p>
        </w:tc>
        <w:tc>
          <w:tcPr>
            <w:tcW w:type="dxa" w:w="3389"/>
            <w:vAlign w:val="top"/>
          </w:tcPr>
          <w:p>
            <w:r>
              <w:rPr>
                <w:sz w:val="17"/>
              </w:rPr>
              <w:t>High</w:t>
            </w:r>
          </w:p>
        </w:tc>
        <w:tc>
          <w:tcPr>
            <w:tcW w:type="dxa" w:w="3389"/>
            <w:vAlign w:val="top"/>
          </w:tcPr>
          <w:p>
            <w:r>
              <w:rPr>
                <w:sz w:val="17"/>
              </w:rPr>
              <w:t>Replace with POST actions, confirmation and permissions.</w:t>
            </w:r>
          </w:p>
        </w:tc>
      </w:tr>
      <w:tr>
        <w:tc>
          <w:tcPr>
            <w:tcW w:type="dxa" w:w="3389"/>
            <w:vAlign w:val="top"/>
          </w:tcPr>
          <w:p>
            <w:r>
              <w:rPr>
                <w:sz w:val="17"/>
              </w:rPr>
              <w:t>Runtime ALTER TABLE in rent_management.php</w:t>
            </w:r>
          </w:p>
        </w:tc>
        <w:tc>
          <w:tcPr>
            <w:tcW w:type="dxa" w:w="3389"/>
            <w:vAlign w:val="top"/>
          </w:tcPr>
          <w:p>
            <w:r>
              <w:rPr>
                <w:sz w:val="17"/>
              </w:rPr>
              <w:t>Medium</w:t>
            </w:r>
          </w:p>
        </w:tc>
        <w:tc>
          <w:tcPr>
            <w:tcW w:type="dxa" w:w="3389"/>
            <w:vAlign w:val="top"/>
          </w:tcPr>
          <w:p>
            <w:r>
              <w:rPr>
                <w:sz w:val="17"/>
              </w:rPr>
              <w:t>Move schema changes into controlled migrations.</w:t>
            </w:r>
          </w:p>
        </w:tc>
      </w:tr>
      <w:tr>
        <w:tc>
          <w:tcPr>
            <w:tcW w:type="dxa" w:w="3389"/>
            <w:vAlign w:val="top"/>
          </w:tcPr>
          <w:p>
            <w:r>
              <w:rPr>
                <w:sz w:val="17"/>
              </w:rPr>
              <w:t>Inconsistent organization filters in legacy queries</w:t>
            </w:r>
          </w:p>
        </w:tc>
        <w:tc>
          <w:tcPr>
            <w:tcW w:type="dxa" w:w="3389"/>
            <w:vAlign w:val="top"/>
          </w:tcPr>
          <w:p>
            <w:r>
              <w:rPr>
                <w:sz w:val="17"/>
              </w:rPr>
              <w:t>High</w:t>
            </w:r>
          </w:p>
        </w:tc>
        <w:tc>
          <w:tcPr>
            <w:tcW w:type="dxa" w:w="3389"/>
            <w:vAlign w:val="top"/>
          </w:tcPr>
          <w:p>
            <w:r>
              <w:rPr>
                <w:sz w:val="17"/>
              </w:rPr>
              <w:t>Enforce organization/entity scope in every query and service.</w:t>
            </w:r>
          </w:p>
        </w:tc>
      </w:tr>
    </w:tbl>
    <w:p>
      <w:pPr>
        <w:pStyle w:val="Heading1"/>
      </w:pPr>
      <w:r>
        <w:t>7. Definition of done</w:t>
      </w:r>
    </w:p>
    <w:p>
      <w:pPr>
        <w:pStyle w:val="ListBullet"/>
      </w:pPr>
      <w:r>
        <w:t>Architecture ownership is clear.</w:t>
      </w:r>
    </w:p>
    <w:p>
      <w:pPr>
        <w:pStyle w:val="ListBullet"/>
      </w:pPr>
      <w:r>
        <w:t>Migration and file list are documented.</w:t>
      </w:r>
    </w:p>
    <w:p>
      <w:pPr>
        <w:pStyle w:val="ListBullet"/>
      </w:pPr>
      <w:r>
        <w:t>No unrelated stable module is changed.</w:t>
      </w:r>
    </w:p>
    <w:p>
      <w:pPr>
        <w:pStyle w:val="ListBullet"/>
      </w:pPr>
      <w:r>
        <w:t>Syntax checks pass.</w:t>
      </w:r>
    </w:p>
    <w:p>
      <w:pPr>
        <w:pStyle w:val="ListBullet"/>
      </w:pPr>
      <w:r>
        <w:t>Desktop and mobile test cases pass.</w:t>
      </w:r>
    </w:p>
    <w:p>
      <w:pPr>
        <w:pStyle w:val="ListBullet"/>
      </w:pPr>
      <w:r>
        <w:t>Release notes and database dictionary are updated.</w:t>
      </w:r>
    </w:p>
    <w:p>
      <w:pPr>
        <w:pStyle w:val="ListBullet"/>
      </w:pPr>
      <w:r>
        <w:t>A restore point exists before production deployment.</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66666"/>
        <w:sz w:val="16"/>
      </w:rPr>
      <w:t>OMS Enterprise Product Backlog · Internal Product Office</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B8892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6161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B8892F"/>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61616"/>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